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A95" w:rsidRDefault="00385A95">
      <w:pPr>
        <w:pStyle w:val="TOCHeading"/>
        <w:rPr>
          <w:rFonts w:asciiTheme="minorHAnsi" w:eastAsiaTheme="minorHAnsi" w:hAnsiTheme="minorHAnsi" w:cstheme="minorHAnsi"/>
          <w:color w:val="auto"/>
          <w:sz w:val="24"/>
          <w:szCs w:val="24"/>
          <w:lang w:val="en-IN"/>
        </w:rPr>
      </w:pPr>
      <w:r w:rsidRPr="00385A95">
        <w:rPr>
          <w:rFonts w:asciiTheme="minorHAnsi" w:eastAsiaTheme="minorHAnsi" w:hAnsiTheme="minorHAnsi" w:cstheme="minorHAnsi"/>
          <w:noProof/>
          <w:color w:val="auto"/>
          <w:sz w:val="24"/>
          <w:szCs w:val="24"/>
          <w:lang w:val="en-IN" w:eastAsia="en-IN"/>
        </w:rPr>
        <w:drawing>
          <wp:inline distT="0" distB="0" distL="0" distR="0">
            <wp:extent cx="5745480" cy="8117984"/>
            <wp:effectExtent l="0" t="0" r="7620" b="0"/>
            <wp:docPr id="1" name="Picture 1" descr="C:\Users\41016569\Desktop\True-Up of  FY 21-22\BYPL  Final 30112022\Petition cover page\Past Period True u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41016569\Desktop\True-Up of  FY 21-22\BYPL  Final 30112022\Petition cover page\Past Period True up.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45480" cy="8117984"/>
                    </a:xfrm>
                    <a:prstGeom prst="rect">
                      <a:avLst/>
                    </a:prstGeom>
                    <a:noFill/>
                    <a:ln>
                      <a:noFill/>
                    </a:ln>
                  </pic:spPr>
                </pic:pic>
              </a:graphicData>
            </a:graphic>
          </wp:inline>
        </w:drawing>
      </w:r>
    </w:p>
    <w:p w:rsidR="00385A95" w:rsidRPr="00385A95" w:rsidRDefault="00385A95" w:rsidP="00385A95"/>
    <w:sdt>
      <w:sdtPr>
        <w:rPr>
          <w:rFonts w:asciiTheme="minorHAnsi" w:eastAsiaTheme="minorHAnsi" w:hAnsiTheme="minorHAnsi" w:cstheme="minorHAnsi"/>
          <w:color w:val="auto"/>
          <w:sz w:val="24"/>
          <w:szCs w:val="24"/>
          <w:lang w:val="en-IN"/>
        </w:rPr>
        <w:id w:val="-1309700389"/>
        <w:docPartObj>
          <w:docPartGallery w:val="Table of Contents"/>
          <w:docPartUnique/>
        </w:docPartObj>
      </w:sdtPr>
      <w:sdtEndPr>
        <w:rPr>
          <w:b/>
          <w:bCs/>
          <w:noProof/>
        </w:rPr>
      </w:sdtEndPr>
      <w:sdtContent>
        <w:p w:rsidR="001132A3" w:rsidRPr="00AE0294" w:rsidRDefault="001132A3">
          <w:pPr>
            <w:pStyle w:val="TOCHeading"/>
            <w:rPr>
              <w:rFonts w:asciiTheme="minorHAnsi" w:hAnsiTheme="minorHAnsi" w:cstheme="minorHAnsi"/>
              <w:b/>
              <w:color w:val="000000" w:themeColor="text1"/>
              <w:sz w:val="24"/>
              <w:szCs w:val="24"/>
            </w:rPr>
          </w:pPr>
          <w:r w:rsidRPr="00AE0294">
            <w:rPr>
              <w:rFonts w:asciiTheme="minorHAnsi" w:hAnsiTheme="minorHAnsi" w:cstheme="minorHAnsi"/>
              <w:b/>
              <w:color w:val="000000" w:themeColor="text1"/>
              <w:sz w:val="24"/>
              <w:szCs w:val="24"/>
            </w:rPr>
            <w:t>Contents</w:t>
          </w:r>
        </w:p>
        <w:p w:rsidR="00B45D25" w:rsidRDefault="00BC0EFD" w:rsidP="0071375B">
          <w:pPr>
            <w:pStyle w:val="TOC1"/>
            <w:jc w:val="both"/>
            <w:rPr>
              <w:rFonts w:eastAsiaTheme="minorEastAsia"/>
              <w:noProof/>
              <w:lang w:eastAsia="en-IN"/>
            </w:rPr>
          </w:pPr>
          <w:r w:rsidRPr="00AE0294">
            <w:rPr>
              <w:rFonts w:cstheme="minorHAnsi"/>
              <w:sz w:val="24"/>
              <w:szCs w:val="24"/>
            </w:rPr>
            <w:fldChar w:fldCharType="begin"/>
          </w:r>
          <w:r w:rsidR="00B523D9" w:rsidRPr="00AE0294">
            <w:rPr>
              <w:rFonts w:cstheme="minorHAnsi"/>
              <w:sz w:val="24"/>
              <w:szCs w:val="24"/>
            </w:rPr>
            <w:instrText xml:space="preserve"> TOC \o "1-1" \h \z \u </w:instrText>
          </w:r>
          <w:r w:rsidRPr="00AE0294">
            <w:rPr>
              <w:rFonts w:cstheme="minorHAnsi"/>
              <w:sz w:val="24"/>
              <w:szCs w:val="24"/>
            </w:rPr>
            <w:fldChar w:fldCharType="separate"/>
          </w:r>
          <w:hyperlink w:anchor="_Toc120733941" w:history="1">
            <w:r w:rsidR="00B45D25" w:rsidRPr="00225973">
              <w:rPr>
                <w:rStyle w:val="Hyperlink"/>
                <w:rFonts w:cstheme="minorHAnsi"/>
                <w:noProof/>
              </w:rPr>
              <w:t>Past Claims upto FY 2019-20 - Regulatory Asset yet to be recognised</w:t>
            </w:r>
            <w:r w:rsidR="00B45D25">
              <w:rPr>
                <w:noProof/>
                <w:webHidden/>
              </w:rPr>
              <w:tab/>
            </w:r>
            <w:r w:rsidR="00B45D25">
              <w:rPr>
                <w:noProof/>
                <w:webHidden/>
              </w:rPr>
              <w:fldChar w:fldCharType="begin"/>
            </w:r>
            <w:r w:rsidR="00B45D25">
              <w:rPr>
                <w:noProof/>
                <w:webHidden/>
              </w:rPr>
              <w:instrText xml:space="preserve"> PAGEREF _Toc120733941 \h </w:instrText>
            </w:r>
            <w:r w:rsidR="00B45D25">
              <w:rPr>
                <w:noProof/>
                <w:webHidden/>
              </w:rPr>
            </w:r>
            <w:r w:rsidR="00B45D25">
              <w:rPr>
                <w:noProof/>
                <w:webHidden/>
              </w:rPr>
              <w:fldChar w:fldCharType="separate"/>
            </w:r>
            <w:r w:rsidR="006D2E03">
              <w:rPr>
                <w:noProof/>
                <w:webHidden/>
              </w:rPr>
              <w:t>204</w:t>
            </w:r>
            <w:r w:rsidR="00B45D25">
              <w:rPr>
                <w:noProof/>
                <w:webHidden/>
              </w:rPr>
              <w:fldChar w:fldCharType="end"/>
            </w:r>
          </w:hyperlink>
        </w:p>
        <w:p w:rsidR="00B45D25" w:rsidRDefault="00410A75" w:rsidP="0071375B">
          <w:pPr>
            <w:pStyle w:val="TOC1"/>
            <w:tabs>
              <w:tab w:val="left" w:pos="1760"/>
            </w:tabs>
            <w:jc w:val="both"/>
            <w:rPr>
              <w:rFonts w:eastAsiaTheme="minorEastAsia"/>
              <w:noProof/>
              <w:lang w:eastAsia="en-IN"/>
            </w:rPr>
          </w:pPr>
          <w:hyperlink w:anchor="_Toc120733942" w:history="1">
            <w:r w:rsidR="00B45D25" w:rsidRPr="00225973">
              <w:rPr>
                <w:rStyle w:val="Hyperlink"/>
                <w:rFonts w:cstheme="minorHAnsi"/>
                <w:noProof/>
              </w:rPr>
              <w:t>Category 1A:</w:t>
            </w:r>
            <w:r w:rsidR="00B45D25">
              <w:rPr>
                <w:rFonts w:eastAsiaTheme="minorEastAsia"/>
                <w:noProof/>
                <w:lang w:eastAsia="en-IN"/>
              </w:rPr>
              <w:tab/>
            </w:r>
            <w:r w:rsidR="00B45D25" w:rsidRPr="00225973">
              <w:rPr>
                <w:rStyle w:val="Hyperlink"/>
                <w:rFonts w:cstheme="minorHAnsi"/>
                <w:noProof/>
              </w:rPr>
              <w:t>Impact of APTEL Judgements which have attained finality vide Hon’ble SC Order dated 01.12.2021</w:t>
            </w:r>
            <w:r w:rsidR="00B45D25">
              <w:rPr>
                <w:noProof/>
                <w:webHidden/>
              </w:rPr>
              <w:tab/>
            </w:r>
            <w:r w:rsidR="00B45D25">
              <w:rPr>
                <w:noProof/>
                <w:webHidden/>
              </w:rPr>
              <w:fldChar w:fldCharType="begin"/>
            </w:r>
            <w:r w:rsidR="00B45D25">
              <w:rPr>
                <w:noProof/>
                <w:webHidden/>
              </w:rPr>
              <w:instrText xml:space="preserve"> PAGEREF _Toc120733942 \h </w:instrText>
            </w:r>
            <w:r w:rsidR="00B45D25">
              <w:rPr>
                <w:noProof/>
                <w:webHidden/>
              </w:rPr>
            </w:r>
            <w:r w:rsidR="00B45D25">
              <w:rPr>
                <w:noProof/>
                <w:webHidden/>
              </w:rPr>
              <w:fldChar w:fldCharType="separate"/>
            </w:r>
            <w:r w:rsidR="006D2E03">
              <w:rPr>
                <w:noProof/>
                <w:webHidden/>
              </w:rPr>
              <w:t>205</w:t>
            </w:r>
            <w:r w:rsidR="00B45D25">
              <w:rPr>
                <w:noProof/>
                <w:webHidden/>
              </w:rPr>
              <w:fldChar w:fldCharType="end"/>
            </w:r>
          </w:hyperlink>
        </w:p>
        <w:p w:rsidR="00B45D25" w:rsidRDefault="00410A75" w:rsidP="0071375B">
          <w:pPr>
            <w:pStyle w:val="TOC1"/>
            <w:jc w:val="both"/>
            <w:rPr>
              <w:rFonts w:eastAsiaTheme="minorEastAsia"/>
              <w:noProof/>
              <w:lang w:eastAsia="en-IN"/>
            </w:rPr>
          </w:pPr>
          <w:hyperlink w:anchor="_Toc120733943" w:history="1">
            <w:r w:rsidR="00B45D25" w:rsidRPr="00225973">
              <w:rPr>
                <w:rStyle w:val="Hyperlink"/>
                <w:rFonts w:cstheme="minorHAnsi"/>
                <w:noProof/>
              </w:rPr>
              <w:t>Category-1B: Impact of Hon’ble Supreme Court Judgment and Order dated 18.10.2022</w:t>
            </w:r>
            <w:r w:rsidR="00B45D25">
              <w:rPr>
                <w:noProof/>
                <w:webHidden/>
              </w:rPr>
              <w:tab/>
            </w:r>
            <w:r w:rsidR="00B45D25">
              <w:rPr>
                <w:noProof/>
                <w:webHidden/>
              </w:rPr>
              <w:fldChar w:fldCharType="begin"/>
            </w:r>
            <w:r w:rsidR="00B45D25">
              <w:rPr>
                <w:noProof/>
                <w:webHidden/>
              </w:rPr>
              <w:instrText xml:space="preserve"> PAGEREF _Toc120733943 \h </w:instrText>
            </w:r>
            <w:r w:rsidR="00B45D25">
              <w:rPr>
                <w:noProof/>
                <w:webHidden/>
              </w:rPr>
            </w:r>
            <w:r w:rsidR="00B45D25">
              <w:rPr>
                <w:noProof/>
                <w:webHidden/>
              </w:rPr>
              <w:fldChar w:fldCharType="separate"/>
            </w:r>
            <w:r w:rsidR="006D2E03">
              <w:rPr>
                <w:noProof/>
                <w:webHidden/>
              </w:rPr>
              <w:t>207</w:t>
            </w:r>
            <w:r w:rsidR="00B45D25">
              <w:rPr>
                <w:noProof/>
                <w:webHidden/>
              </w:rPr>
              <w:fldChar w:fldCharType="end"/>
            </w:r>
          </w:hyperlink>
        </w:p>
        <w:p w:rsidR="00B45D25" w:rsidRDefault="00410A75" w:rsidP="0071375B">
          <w:pPr>
            <w:pStyle w:val="TOC1"/>
            <w:tabs>
              <w:tab w:val="left" w:pos="880"/>
            </w:tabs>
            <w:jc w:val="both"/>
            <w:rPr>
              <w:rFonts w:eastAsiaTheme="minorEastAsia"/>
              <w:noProof/>
              <w:lang w:eastAsia="en-IN"/>
            </w:rPr>
          </w:pPr>
          <w:hyperlink w:anchor="_Toc120733944" w:history="1">
            <w:r w:rsidR="00B45D25" w:rsidRPr="00225973">
              <w:rPr>
                <w:rStyle w:val="Hyperlink"/>
                <w:rFonts w:cstheme="minorHAnsi"/>
                <w:noProof/>
              </w:rPr>
              <w:t>(i)</w:t>
            </w:r>
            <w:r w:rsidR="00B45D25">
              <w:rPr>
                <w:rFonts w:eastAsiaTheme="minorEastAsia"/>
                <w:noProof/>
                <w:lang w:eastAsia="en-IN"/>
              </w:rPr>
              <w:tab/>
            </w:r>
            <w:r w:rsidR="00B45D25" w:rsidRPr="00225973">
              <w:rPr>
                <w:rStyle w:val="Hyperlink"/>
                <w:rFonts w:cstheme="minorHAnsi"/>
                <w:noProof/>
              </w:rPr>
              <w:t>Impact of issues decided in Civil Appeal 4323-4324 of 2015 (arising from APTEL judgment dated 28.11.2014 in Appeal No. 61 &amp; 62 of 2012)</w:t>
            </w:r>
            <w:r w:rsidR="00B45D25">
              <w:rPr>
                <w:noProof/>
                <w:webHidden/>
              </w:rPr>
              <w:tab/>
            </w:r>
            <w:r w:rsidR="00B45D25">
              <w:rPr>
                <w:noProof/>
                <w:webHidden/>
              </w:rPr>
              <w:fldChar w:fldCharType="begin"/>
            </w:r>
            <w:r w:rsidR="00B45D25">
              <w:rPr>
                <w:noProof/>
                <w:webHidden/>
              </w:rPr>
              <w:instrText xml:space="preserve"> PAGEREF _Toc120733944 \h </w:instrText>
            </w:r>
            <w:r w:rsidR="00B45D25">
              <w:rPr>
                <w:noProof/>
                <w:webHidden/>
              </w:rPr>
            </w:r>
            <w:r w:rsidR="00B45D25">
              <w:rPr>
                <w:noProof/>
                <w:webHidden/>
              </w:rPr>
              <w:fldChar w:fldCharType="separate"/>
            </w:r>
            <w:r w:rsidR="006D2E03">
              <w:rPr>
                <w:noProof/>
                <w:webHidden/>
              </w:rPr>
              <w:t>207</w:t>
            </w:r>
            <w:r w:rsidR="00B45D25">
              <w:rPr>
                <w:noProof/>
                <w:webHidden/>
              </w:rPr>
              <w:fldChar w:fldCharType="end"/>
            </w:r>
          </w:hyperlink>
        </w:p>
        <w:p w:rsidR="00B45D25" w:rsidRDefault="00410A75" w:rsidP="0071375B">
          <w:pPr>
            <w:pStyle w:val="TOC1"/>
            <w:tabs>
              <w:tab w:val="left" w:pos="880"/>
            </w:tabs>
            <w:jc w:val="both"/>
            <w:rPr>
              <w:rFonts w:eastAsiaTheme="minorEastAsia"/>
              <w:noProof/>
              <w:lang w:eastAsia="en-IN"/>
            </w:rPr>
          </w:pPr>
          <w:hyperlink w:anchor="_Toc120733945" w:history="1">
            <w:r w:rsidR="00B45D25" w:rsidRPr="00225973">
              <w:rPr>
                <w:rStyle w:val="Hyperlink"/>
                <w:rFonts w:cstheme="minorHAnsi"/>
                <w:noProof/>
              </w:rPr>
              <w:t>(ii)</w:t>
            </w:r>
            <w:r w:rsidR="00B45D25">
              <w:rPr>
                <w:rFonts w:eastAsiaTheme="minorEastAsia"/>
                <w:noProof/>
                <w:lang w:eastAsia="en-IN"/>
              </w:rPr>
              <w:tab/>
            </w:r>
            <w:r w:rsidR="00B45D25" w:rsidRPr="00225973">
              <w:rPr>
                <w:rStyle w:val="Hyperlink"/>
                <w:rFonts w:cstheme="minorHAnsi"/>
                <w:iCs/>
                <w:noProof/>
              </w:rPr>
              <w:t>Impact of the Principles decided in the Judgment on other issues</w:t>
            </w:r>
            <w:r w:rsidR="00B45D25">
              <w:rPr>
                <w:noProof/>
                <w:webHidden/>
              </w:rPr>
              <w:tab/>
            </w:r>
            <w:r w:rsidR="00B45D25">
              <w:rPr>
                <w:noProof/>
                <w:webHidden/>
              </w:rPr>
              <w:fldChar w:fldCharType="begin"/>
            </w:r>
            <w:r w:rsidR="00B45D25">
              <w:rPr>
                <w:noProof/>
                <w:webHidden/>
              </w:rPr>
              <w:instrText xml:space="preserve"> PAGEREF _Toc120733945 \h </w:instrText>
            </w:r>
            <w:r w:rsidR="00B45D25">
              <w:rPr>
                <w:noProof/>
                <w:webHidden/>
              </w:rPr>
            </w:r>
            <w:r w:rsidR="00B45D25">
              <w:rPr>
                <w:noProof/>
                <w:webHidden/>
              </w:rPr>
              <w:fldChar w:fldCharType="separate"/>
            </w:r>
            <w:r w:rsidR="006D2E03">
              <w:rPr>
                <w:noProof/>
                <w:webHidden/>
              </w:rPr>
              <w:t>208</w:t>
            </w:r>
            <w:r w:rsidR="00B45D25">
              <w:rPr>
                <w:noProof/>
                <w:webHidden/>
              </w:rPr>
              <w:fldChar w:fldCharType="end"/>
            </w:r>
          </w:hyperlink>
        </w:p>
        <w:p w:rsidR="00B45D25" w:rsidRDefault="00410A75" w:rsidP="0071375B">
          <w:pPr>
            <w:pStyle w:val="TOC1"/>
            <w:jc w:val="both"/>
            <w:rPr>
              <w:rFonts w:eastAsiaTheme="minorEastAsia"/>
              <w:noProof/>
              <w:lang w:eastAsia="en-IN"/>
            </w:rPr>
          </w:pPr>
          <w:hyperlink w:anchor="_Toc120733946" w:history="1">
            <w:r w:rsidR="00B45D25" w:rsidRPr="00225973">
              <w:rPr>
                <w:rStyle w:val="Hyperlink"/>
                <w:rFonts w:cstheme="minorHAnsi"/>
                <w:noProof/>
              </w:rPr>
              <w:t>Category-2: Impact of issues pe</w:t>
            </w:r>
            <w:r w:rsidR="00B45D25" w:rsidRPr="00225973">
              <w:rPr>
                <w:rStyle w:val="Hyperlink"/>
                <w:rFonts w:cstheme="minorHAnsi"/>
                <w:noProof/>
              </w:rPr>
              <w:t>n</w:t>
            </w:r>
            <w:r w:rsidR="00B45D25" w:rsidRPr="00225973">
              <w:rPr>
                <w:rStyle w:val="Hyperlink"/>
                <w:rFonts w:cstheme="minorHAnsi"/>
                <w:noProof/>
              </w:rPr>
              <w:t>ding before Hon’ble Commission for implementation</w:t>
            </w:r>
            <w:r w:rsidR="00B45D25">
              <w:rPr>
                <w:noProof/>
                <w:webHidden/>
              </w:rPr>
              <w:tab/>
            </w:r>
            <w:r w:rsidR="00B45D25">
              <w:rPr>
                <w:noProof/>
                <w:webHidden/>
              </w:rPr>
              <w:fldChar w:fldCharType="begin"/>
            </w:r>
            <w:r w:rsidR="00B45D25">
              <w:rPr>
                <w:noProof/>
                <w:webHidden/>
              </w:rPr>
              <w:instrText xml:space="preserve"> PAGEREF _Toc120733946 \h </w:instrText>
            </w:r>
            <w:r w:rsidR="00B45D25">
              <w:rPr>
                <w:noProof/>
                <w:webHidden/>
              </w:rPr>
            </w:r>
            <w:r w:rsidR="00B45D25">
              <w:rPr>
                <w:noProof/>
                <w:webHidden/>
              </w:rPr>
              <w:fldChar w:fldCharType="separate"/>
            </w:r>
            <w:r w:rsidR="006D2E03">
              <w:rPr>
                <w:noProof/>
                <w:webHidden/>
              </w:rPr>
              <w:t>225</w:t>
            </w:r>
            <w:r w:rsidR="00B45D25">
              <w:rPr>
                <w:noProof/>
                <w:webHidden/>
              </w:rPr>
              <w:fldChar w:fldCharType="end"/>
            </w:r>
          </w:hyperlink>
        </w:p>
        <w:p w:rsidR="00B45D25" w:rsidRDefault="00410A75" w:rsidP="0071375B">
          <w:pPr>
            <w:pStyle w:val="TOC1"/>
            <w:jc w:val="both"/>
            <w:rPr>
              <w:rFonts w:eastAsiaTheme="minorEastAsia"/>
              <w:noProof/>
              <w:lang w:eastAsia="en-IN"/>
            </w:rPr>
          </w:pPr>
          <w:hyperlink w:anchor="_Toc120733947" w:history="1">
            <w:r w:rsidR="00B45D25" w:rsidRPr="00225973">
              <w:rPr>
                <w:rStyle w:val="Hyperlink"/>
                <w:rFonts w:cstheme="minorHAnsi"/>
                <w:noProof/>
              </w:rPr>
              <w:t>Category-3: Impact of Appeals pending adjudication before APTEL</w:t>
            </w:r>
            <w:r w:rsidR="00B45D25">
              <w:rPr>
                <w:noProof/>
                <w:webHidden/>
              </w:rPr>
              <w:tab/>
            </w:r>
            <w:r w:rsidR="00B45D25">
              <w:rPr>
                <w:noProof/>
                <w:webHidden/>
              </w:rPr>
              <w:fldChar w:fldCharType="begin"/>
            </w:r>
            <w:r w:rsidR="00B45D25">
              <w:rPr>
                <w:noProof/>
                <w:webHidden/>
              </w:rPr>
              <w:instrText xml:space="preserve"> PAGEREF _Toc120733947 \h </w:instrText>
            </w:r>
            <w:r w:rsidR="00B45D25">
              <w:rPr>
                <w:noProof/>
                <w:webHidden/>
              </w:rPr>
            </w:r>
            <w:r w:rsidR="00B45D25">
              <w:rPr>
                <w:noProof/>
                <w:webHidden/>
              </w:rPr>
              <w:fldChar w:fldCharType="separate"/>
            </w:r>
            <w:r w:rsidR="006D2E03">
              <w:rPr>
                <w:noProof/>
                <w:webHidden/>
              </w:rPr>
              <w:t>237</w:t>
            </w:r>
            <w:r w:rsidR="00B45D25">
              <w:rPr>
                <w:noProof/>
                <w:webHidden/>
              </w:rPr>
              <w:fldChar w:fldCharType="end"/>
            </w:r>
          </w:hyperlink>
        </w:p>
        <w:p w:rsidR="001132A3" w:rsidRPr="00AE0294" w:rsidRDefault="00BC0EFD" w:rsidP="0071375B">
          <w:pPr>
            <w:spacing w:line="276" w:lineRule="auto"/>
            <w:jc w:val="both"/>
            <w:rPr>
              <w:rFonts w:cstheme="minorHAnsi"/>
              <w:sz w:val="24"/>
              <w:szCs w:val="24"/>
            </w:rPr>
          </w:pPr>
          <w:r w:rsidRPr="00AE0294">
            <w:rPr>
              <w:rFonts w:cstheme="minorHAnsi"/>
              <w:sz w:val="24"/>
              <w:szCs w:val="24"/>
            </w:rPr>
            <w:fldChar w:fldCharType="end"/>
          </w:r>
        </w:p>
      </w:sdtContent>
    </w:sdt>
    <w:p w:rsidR="002326B1" w:rsidRPr="00AE0294" w:rsidRDefault="002326B1">
      <w:pPr>
        <w:rPr>
          <w:rFonts w:cstheme="minorHAnsi"/>
          <w:sz w:val="24"/>
          <w:szCs w:val="24"/>
        </w:rPr>
      </w:pPr>
      <w:r w:rsidRPr="00AE0294">
        <w:rPr>
          <w:rFonts w:cstheme="minorHAnsi"/>
          <w:sz w:val="24"/>
          <w:szCs w:val="24"/>
        </w:rPr>
        <w:br w:type="page"/>
      </w:r>
    </w:p>
    <w:p w:rsidR="00C35D22" w:rsidRPr="00AE0294" w:rsidRDefault="00C35D22" w:rsidP="00B36BEF">
      <w:pPr>
        <w:spacing w:line="360" w:lineRule="auto"/>
        <w:rPr>
          <w:rFonts w:cstheme="minorHAnsi"/>
          <w:sz w:val="24"/>
          <w:szCs w:val="24"/>
        </w:rPr>
      </w:pPr>
    </w:p>
    <w:p w:rsidR="00EF1615" w:rsidRPr="00AE0294" w:rsidRDefault="00EF1615" w:rsidP="0071375B">
      <w:pPr>
        <w:spacing w:line="276" w:lineRule="auto"/>
        <w:jc w:val="both"/>
        <w:rPr>
          <w:rFonts w:cstheme="minorHAnsi"/>
          <w:b/>
          <w:sz w:val="24"/>
          <w:szCs w:val="24"/>
        </w:rPr>
      </w:pPr>
      <w:r w:rsidRPr="00AE0294">
        <w:rPr>
          <w:rFonts w:cstheme="minorHAnsi"/>
          <w:b/>
          <w:sz w:val="24"/>
          <w:szCs w:val="24"/>
        </w:rPr>
        <w:t>List of Tables</w:t>
      </w:r>
    </w:p>
    <w:p w:rsidR="00B01EAF" w:rsidRPr="00B01EAF" w:rsidRDefault="00BC0EFD" w:rsidP="0071375B">
      <w:pPr>
        <w:pStyle w:val="TableofFigures"/>
        <w:tabs>
          <w:tab w:val="right" w:leader="dot" w:pos="9038"/>
        </w:tabs>
        <w:spacing w:line="360" w:lineRule="auto"/>
        <w:jc w:val="both"/>
        <w:rPr>
          <w:rFonts w:eastAsiaTheme="minorEastAsia"/>
          <w:noProof/>
          <w:sz w:val="22"/>
          <w:lang w:eastAsia="en-IN"/>
        </w:rPr>
      </w:pPr>
      <w:r w:rsidRPr="00B01EAF">
        <w:rPr>
          <w:rFonts w:cstheme="minorHAnsi"/>
          <w:szCs w:val="24"/>
        </w:rPr>
        <w:fldChar w:fldCharType="begin"/>
      </w:r>
      <w:r w:rsidR="00F8479F" w:rsidRPr="00B01EAF">
        <w:rPr>
          <w:rFonts w:cstheme="minorHAnsi"/>
          <w:szCs w:val="24"/>
        </w:rPr>
        <w:instrText xml:space="preserve"> TOC \h \z \c "Table 3B" </w:instrText>
      </w:r>
      <w:r w:rsidRPr="00B01EAF">
        <w:rPr>
          <w:rFonts w:cstheme="minorHAnsi"/>
          <w:szCs w:val="24"/>
        </w:rPr>
        <w:fldChar w:fldCharType="separate"/>
      </w:r>
      <w:hyperlink w:anchor="_Toc120734109" w:history="1">
        <w:r w:rsidR="00B01EAF" w:rsidRPr="00B01EAF">
          <w:rPr>
            <w:rStyle w:val="Hyperlink"/>
            <w:rFonts w:cstheme="minorHAnsi"/>
            <w:noProof/>
          </w:rPr>
          <w:t>Table 3B 1: Issues which have attained finality vide Hon’ble Supreme Court Order dated 01.12.2021</w:t>
        </w:r>
        <w:r w:rsidR="00B01EAF" w:rsidRPr="00B01EAF">
          <w:rPr>
            <w:noProof/>
            <w:webHidden/>
          </w:rPr>
          <w:tab/>
        </w:r>
        <w:r w:rsidR="00B01EAF" w:rsidRPr="00B01EAF">
          <w:rPr>
            <w:noProof/>
            <w:webHidden/>
          </w:rPr>
          <w:fldChar w:fldCharType="begin"/>
        </w:r>
        <w:r w:rsidR="00B01EAF" w:rsidRPr="00B01EAF">
          <w:rPr>
            <w:noProof/>
            <w:webHidden/>
          </w:rPr>
          <w:instrText xml:space="preserve"> PAGEREF _Toc120734109 \h </w:instrText>
        </w:r>
        <w:r w:rsidR="00B01EAF" w:rsidRPr="00B01EAF">
          <w:rPr>
            <w:noProof/>
            <w:webHidden/>
          </w:rPr>
        </w:r>
        <w:r w:rsidR="00B01EAF" w:rsidRPr="00B01EAF">
          <w:rPr>
            <w:noProof/>
            <w:webHidden/>
          </w:rPr>
          <w:fldChar w:fldCharType="separate"/>
        </w:r>
        <w:r w:rsidR="006D2E03">
          <w:rPr>
            <w:noProof/>
            <w:webHidden/>
          </w:rPr>
          <w:t>205</w:t>
        </w:r>
        <w:r w:rsidR="00B01EAF" w:rsidRPr="00B01EAF">
          <w:rPr>
            <w:noProof/>
            <w:webHidden/>
          </w:rPr>
          <w:fldChar w:fldCharType="end"/>
        </w:r>
      </w:hyperlink>
    </w:p>
    <w:p w:rsidR="00B01EAF" w:rsidRPr="00B01EAF" w:rsidRDefault="00410A75" w:rsidP="0071375B">
      <w:pPr>
        <w:pStyle w:val="TableofFigures"/>
        <w:tabs>
          <w:tab w:val="right" w:leader="dot" w:pos="9038"/>
        </w:tabs>
        <w:spacing w:line="360" w:lineRule="auto"/>
        <w:jc w:val="both"/>
        <w:rPr>
          <w:rFonts w:eastAsiaTheme="minorEastAsia"/>
          <w:noProof/>
          <w:sz w:val="22"/>
          <w:lang w:eastAsia="en-IN"/>
        </w:rPr>
      </w:pPr>
      <w:hyperlink w:anchor="_Toc120734110" w:history="1">
        <w:r w:rsidR="00B01EAF" w:rsidRPr="00B01EAF">
          <w:rPr>
            <w:rStyle w:val="Hyperlink"/>
            <w:rFonts w:cstheme="minorHAnsi"/>
            <w:noProof/>
          </w:rPr>
          <w:t>Table 3B 2: Impact of Principles laid down in the judgment in Civil Appeal No. 1854-1855 of 2013</w:t>
        </w:r>
        <w:r w:rsidR="00B01EAF" w:rsidRPr="00B01EAF">
          <w:rPr>
            <w:noProof/>
            <w:webHidden/>
          </w:rPr>
          <w:tab/>
        </w:r>
        <w:r w:rsidR="00B01EAF" w:rsidRPr="00B01EAF">
          <w:rPr>
            <w:noProof/>
            <w:webHidden/>
          </w:rPr>
          <w:fldChar w:fldCharType="begin"/>
        </w:r>
        <w:r w:rsidR="00B01EAF" w:rsidRPr="00B01EAF">
          <w:rPr>
            <w:noProof/>
            <w:webHidden/>
          </w:rPr>
          <w:instrText xml:space="preserve"> PAGEREF _Toc120734110 \h </w:instrText>
        </w:r>
        <w:r w:rsidR="00B01EAF" w:rsidRPr="00B01EAF">
          <w:rPr>
            <w:noProof/>
            <w:webHidden/>
          </w:rPr>
        </w:r>
        <w:r w:rsidR="00B01EAF" w:rsidRPr="00B01EAF">
          <w:rPr>
            <w:noProof/>
            <w:webHidden/>
          </w:rPr>
          <w:fldChar w:fldCharType="separate"/>
        </w:r>
        <w:r w:rsidR="006D2E03">
          <w:rPr>
            <w:noProof/>
            <w:webHidden/>
          </w:rPr>
          <w:t>206</w:t>
        </w:r>
        <w:r w:rsidR="00B01EAF" w:rsidRPr="00B01EAF">
          <w:rPr>
            <w:noProof/>
            <w:webHidden/>
          </w:rPr>
          <w:fldChar w:fldCharType="end"/>
        </w:r>
      </w:hyperlink>
    </w:p>
    <w:p w:rsidR="00B01EAF" w:rsidRPr="00B01EAF" w:rsidRDefault="00410A75" w:rsidP="0071375B">
      <w:pPr>
        <w:pStyle w:val="TableofFigures"/>
        <w:tabs>
          <w:tab w:val="right" w:leader="dot" w:pos="9038"/>
        </w:tabs>
        <w:spacing w:line="360" w:lineRule="auto"/>
        <w:jc w:val="both"/>
        <w:rPr>
          <w:rFonts w:eastAsiaTheme="minorEastAsia"/>
          <w:noProof/>
          <w:sz w:val="22"/>
          <w:lang w:eastAsia="en-IN"/>
        </w:rPr>
      </w:pPr>
      <w:hyperlink w:anchor="_Toc120734111" w:history="1">
        <w:r w:rsidR="00B01EAF" w:rsidRPr="00B01EAF">
          <w:rPr>
            <w:rStyle w:val="Hyperlink"/>
            <w:rFonts w:cstheme="minorHAnsi"/>
            <w:noProof/>
          </w:rPr>
          <w:t>Table 3B 3: Issues which have attained finality vide Hon’ble</w:t>
        </w:r>
        <w:r w:rsidR="00B01EAF" w:rsidRPr="00B01EAF">
          <w:rPr>
            <w:rStyle w:val="Hyperlink"/>
            <w:rFonts w:cstheme="minorHAnsi"/>
            <w:noProof/>
          </w:rPr>
          <w:t xml:space="preserve"> </w:t>
        </w:r>
        <w:r w:rsidR="00B01EAF" w:rsidRPr="00B01EAF">
          <w:rPr>
            <w:rStyle w:val="Hyperlink"/>
            <w:rFonts w:cstheme="minorHAnsi"/>
            <w:noProof/>
          </w:rPr>
          <w:t>Supreme Court Order dated 18.10.2022</w:t>
        </w:r>
        <w:r w:rsidR="00B01EAF" w:rsidRPr="00B01EAF">
          <w:rPr>
            <w:noProof/>
            <w:webHidden/>
          </w:rPr>
          <w:tab/>
        </w:r>
        <w:r w:rsidR="00B01EAF" w:rsidRPr="00B01EAF">
          <w:rPr>
            <w:noProof/>
            <w:webHidden/>
          </w:rPr>
          <w:fldChar w:fldCharType="begin"/>
        </w:r>
        <w:r w:rsidR="00B01EAF" w:rsidRPr="00B01EAF">
          <w:rPr>
            <w:noProof/>
            <w:webHidden/>
          </w:rPr>
          <w:instrText xml:space="preserve"> PAGEREF _Toc120734111 \h </w:instrText>
        </w:r>
        <w:r w:rsidR="00B01EAF" w:rsidRPr="00B01EAF">
          <w:rPr>
            <w:noProof/>
            <w:webHidden/>
          </w:rPr>
        </w:r>
        <w:r w:rsidR="00B01EAF" w:rsidRPr="00B01EAF">
          <w:rPr>
            <w:noProof/>
            <w:webHidden/>
          </w:rPr>
          <w:fldChar w:fldCharType="separate"/>
        </w:r>
        <w:r w:rsidR="006D2E03">
          <w:rPr>
            <w:noProof/>
            <w:webHidden/>
          </w:rPr>
          <w:t>208</w:t>
        </w:r>
        <w:r w:rsidR="00B01EAF" w:rsidRPr="00B01EAF">
          <w:rPr>
            <w:noProof/>
            <w:webHidden/>
          </w:rPr>
          <w:fldChar w:fldCharType="end"/>
        </w:r>
      </w:hyperlink>
    </w:p>
    <w:p w:rsidR="00B01EAF" w:rsidRPr="00B01EAF" w:rsidRDefault="00410A75" w:rsidP="0071375B">
      <w:pPr>
        <w:pStyle w:val="TableofFigures"/>
        <w:tabs>
          <w:tab w:val="right" w:leader="dot" w:pos="9038"/>
        </w:tabs>
        <w:spacing w:line="360" w:lineRule="auto"/>
        <w:jc w:val="both"/>
        <w:rPr>
          <w:rFonts w:eastAsiaTheme="minorEastAsia"/>
          <w:noProof/>
          <w:sz w:val="22"/>
          <w:lang w:eastAsia="en-IN"/>
        </w:rPr>
      </w:pPr>
      <w:hyperlink w:anchor="_Toc120734112" w:history="1">
        <w:r w:rsidR="00B01EAF" w:rsidRPr="00B01EAF">
          <w:rPr>
            <w:rStyle w:val="Hyperlink"/>
            <w:rFonts w:cstheme="minorHAnsi"/>
            <w:noProof/>
          </w:rPr>
          <w:t>Table 3B 4: Issue wise impact of the p</w:t>
        </w:r>
        <w:r w:rsidR="00B01EAF" w:rsidRPr="00B01EAF">
          <w:rPr>
            <w:rStyle w:val="Hyperlink"/>
            <w:rFonts w:cstheme="minorHAnsi"/>
            <w:bCs/>
            <w:noProof/>
            <w:lang w:val="en-US"/>
          </w:rPr>
          <w:t>rinciples decided in the Judgment</w:t>
        </w:r>
        <w:r w:rsidR="00B01EAF" w:rsidRPr="00B01EAF">
          <w:rPr>
            <w:noProof/>
            <w:webHidden/>
          </w:rPr>
          <w:tab/>
        </w:r>
        <w:r w:rsidR="00B01EAF" w:rsidRPr="00B01EAF">
          <w:rPr>
            <w:noProof/>
            <w:webHidden/>
          </w:rPr>
          <w:fldChar w:fldCharType="begin"/>
        </w:r>
        <w:r w:rsidR="00B01EAF" w:rsidRPr="00B01EAF">
          <w:rPr>
            <w:noProof/>
            <w:webHidden/>
          </w:rPr>
          <w:instrText xml:space="preserve"> PAGEREF _Toc120734112 \h </w:instrText>
        </w:r>
        <w:r w:rsidR="00B01EAF" w:rsidRPr="00B01EAF">
          <w:rPr>
            <w:noProof/>
            <w:webHidden/>
          </w:rPr>
        </w:r>
        <w:r w:rsidR="00B01EAF" w:rsidRPr="00B01EAF">
          <w:rPr>
            <w:noProof/>
            <w:webHidden/>
          </w:rPr>
          <w:fldChar w:fldCharType="separate"/>
        </w:r>
        <w:r w:rsidR="006D2E03">
          <w:rPr>
            <w:noProof/>
            <w:webHidden/>
          </w:rPr>
          <w:t>209</w:t>
        </w:r>
        <w:r w:rsidR="00B01EAF" w:rsidRPr="00B01EAF">
          <w:rPr>
            <w:noProof/>
            <w:webHidden/>
          </w:rPr>
          <w:fldChar w:fldCharType="end"/>
        </w:r>
      </w:hyperlink>
    </w:p>
    <w:p w:rsidR="00B01EAF" w:rsidRPr="00B01EAF" w:rsidRDefault="00410A75" w:rsidP="0071375B">
      <w:pPr>
        <w:pStyle w:val="TableofFigures"/>
        <w:tabs>
          <w:tab w:val="right" w:leader="dot" w:pos="9038"/>
        </w:tabs>
        <w:spacing w:line="360" w:lineRule="auto"/>
        <w:jc w:val="both"/>
        <w:rPr>
          <w:rFonts w:eastAsiaTheme="minorEastAsia"/>
          <w:noProof/>
          <w:sz w:val="22"/>
          <w:lang w:eastAsia="en-IN"/>
        </w:rPr>
      </w:pPr>
      <w:hyperlink w:anchor="_Toc120734113" w:history="1">
        <w:r w:rsidR="00B01EAF" w:rsidRPr="00B01EAF">
          <w:rPr>
            <w:rStyle w:val="Hyperlink"/>
            <w:rFonts w:cstheme="minorHAnsi"/>
            <w:noProof/>
          </w:rPr>
          <w:t xml:space="preserve">Table 3B 5: Financial Impact of Write Back of Miscellaneous Provisions considered as NTI FY 2007-08 to FY 2019-20 along with Carying Cost </w:t>
        </w:r>
        <w:r w:rsidR="00B01EAF" w:rsidRPr="00B01EAF">
          <w:rPr>
            <w:rStyle w:val="Hyperlink"/>
            <w:rFonts w:cstheme="minorHAnsi"/>
            <w:bCs/>
            <w:noProof/>
            <w:lang w:val="en-US"/>
          </w:rPr>
          <w:t>(₹ Crore)</w:t>
        </w:r>
        <w:r w:rsidR="00B01EAF" w:rsidRPr="00B01EAF">
          <w:rPr>
            <w:noProof/>
            <w:webHidden/>
          </w:rPr>
          <w:tab/>
        </w:r>
        <w:r w:rsidR="00B01EAF" w:rsidRPr="00B01EAF">
          <w:rPr>
            <w:noProof/>
            <w:webHidden/>
          </w:rPr>
          <w:fldChar w:fldCharType="begin"/>
        </w:r>
        <w:r w:rsidR="00B01EAF" w:rsidRPr="00B01EAF">
          <w:rPr>
            <w:noProof/>
            <w:webHidden/>
          </w:rPr>
          <w:instrText xml:space="preserve"> PAGEREF _Toc120734113 \h </w:instrText>
        </w:r>
        <w:r w:rsidR="00B01EAF" w:rsidRPr="00B01EAF">
          <w:rPr>
            <w:noProof/>
            <w:webHidden/>
          </w:rPr>
        </w:r>
        <w:r w:rsidR="00B01EAF" w:rsidRPr="00B01EAF">
          <w:rPr>
            <w:noProof/>
            <w:webHidden/>
          </w:rPr>
          <w:fldChar w:fldCharType="separate"/>
        </w:r>
        <w:r w:rsidR="006D2E03">
          <w:rPr>
            <w:noProof/>
            <w:webHidden/>
          </w:rPr>
          <w:t>226</w:t>
        </w:r>
        <w:r w:rsidR="00B01EAF" w:rsidRPr="00B01EAF">
          <w:rPr>
            <w:noProof/>
            <w:webHidden/>
          </w:rPr>
          <w:fldChar w:fldCharType="end"/>
        </w:r>
      </w:hyperlink>
    </w:p>
    <w:p w:rsidR="00B01EAF" w:rsidRPr="00B01EAF" w:rsidRDefault="00410A75" w:rsidP="0071375B">
      <w:pPr>
        <w:pStyle w:val="TableofFigures"/>
        <w:tabs>
          <w:tab w:val="right" w:leader="dot" w:pos="9038"/>
        </w:tabs>
        <w:spacing w:line="360" w:lineRule="auto"/>
        <w:jc w:val="both"/>
        <w:rPr>
          <w:rFonts w:eastAsiaTheme="minorEastAsia"/>
          <w:noProof/>
          <w:sz w:val="22"/>
          <w:lang w:eastAsia="en-IN"/>
        </w:rPr>
      </w:pPr>
      <w:hyperlink w:anchor="_Toc120734114" w:history="1">
        <w:r w:rsidR="00B01EAF" w:rsidRPr="00B01EAF">
          <w:rPr>
            <w:rStyle w:val="Hyperlink"/>
            <w:rFonts w:cstheme="minorHAnsi"/>
            <w:noProof/>
          </w:rPr>
          <w:t xml:space="preserve">Table 3B 6: Financial Impact of Power Purchase cost for FY 2013-14 on account of MOD along with Carying Cost </w:t>
        </w:r>
        <w:r w:rsidR="00B01EAF" w:rsidRPr="00B01EAF">
          <w:rPr>
            <w:rStyle w:val="Hyperlink"/>
            <w:rFonts w:cstheme="minorHAnsi"/>
            <w:bCs/>
            <w:noProof/>
            <w:lang w:val="en-US"/>
          </w:rPr>
          <w:t>(₹ Crore)</w:t>
        </w:r>
        <w:r w:rsidR="00B01EAF" w:rsidRPr="00B01EAF">
          <w:rPr>
            <w:noProof/>
            <w:webHidden/>
          </w:rPr>
          <w:tab/>
        </w:r>
        <w:r w:rsidR="00B01EAF" w:rsidRPr="00B01EAF">
          <w:rPr>
            <w:noProof/>
            <w:webHidden/>
          </w:rPr>
          <w:fldChar w:fldCharType="begin"/>
        </w:r>
        <w:r w:rsidR="00B01EAF" w:rsidRPr="00B01EAF">
          <w:rPr>
            <w:noProof/>
            <w:webHidden/>
          </w:rPr>
          <w:instrText xml:space="preserve"> PAGEREF _Toc120734114 \h </w:instrText>
        </w:r>
        <w:r w:rsidR="00B01EAF" w:rsidRPr="00B01EAF">
          <w:rPr>
            <w:noProof/>
            <w:webHidden/>
          </w:rPr>
        </w:r>
        <w:r w:rsidR="00B01EAF" w:rsidRPr="00B01EAF">
          <w:rPr>
            <w:noProof/>
            <w:webHidden/>
          </w:rPr>
          <w:fldChar w:fldCharType="separate"/>
        </w:r>
        <w:r w:rsidR="006D2E03">
          <w:rPr>
            <w:noProof/>
            <w:webHidden/>
          </w:rPr>
          <w:t>227</w:t>
        </w:r>
        <w:r w:rsidR="00B01EAF" w:rsidRPr="00B01EAF">
          <w:rPr>
            <w:noProof/>
            <w:webHidden/>
          </w:rPr>
          <w:fldChar w:fldCharType="end"/>
        </w:r>
      </w:hyperlink>
    </w:p>
    <w:p w:rsidR="00B01EAF" w:rsidRPr="00B01EAF" w:rsidRDefault="00410A75" w:rsidP="0071375B">
      <w:pPr>
        <w:pStyle w:val="TableofFigures"/>
        <w:tabs>
          <w:tab w:val="right" w:leader="dot" w:pos="9038"/>
        </w:tabs>
        <w:spacing w:line="360" w:lineRule="auto"/>
        <w:jc w:val="both"/>
        <w:rPr>
          <w:rFonts w:eastAsiaTheme="minorEastAsia"/>
          <w:noProof/>
          <w:sz w:val="22"/>
          <w:lang w:eastAsia="en-IN"/>
        </w:rPr>
      </w:pPr>
      <w:hyperlink w:anchor="_Toc120734115" w:history="1">
        <w:r w:rsidR="00B01EAF" w:rsidRPr="00B01EAF">
          <w:rPr>
            <w:rStyle w:val="Hyperlink"/>
            <w:rFonts w:cstheme="minorHAnsi"/>
            <w:noProof/>
          </w:rPr>
          <w:t xml:space="preserve">Table 3B 7: Financial </w:t>
        </w:r>
        <w:r w:rsidR="00B01EAF" w:rsidRPr="00B01EAF">
          <w:rPr>
            <w:rStyle w:val="Hyperlink"/>
            <w:rFonts w:cstheme="minorHAnsi"/>
            <w:bCs/>
            <w:noProof/>
            <w:lang w:val="en-US"/>
          </w:rPr>
          <w:t>Impact of loss on sale of retired assets along with carrying cost (₹ Crore)</w:t>
        </w:r>
        <w:r w:rsidR="00B01EAF" w:rsidRPr="00B01EAF">
          <w:rPr>
            <w:noProof/>
            <w:webHidden/>
          </w:rPr>
          <w:tab/>
        </w:r>
        <w:r w:rsidR="00B01EAF" w:rsidRPr="00B01EAF">
          <w:rPr>
            <w:noProof/>
            <w:webHidden/>
          </w:rPr>
          <w:fldChar w:fldCharType="begin"/>
        </w:r>
        <w:r w:rsidR="00B01EAF" w:rsidRPr="00B01EAF">
          <w:rPr>
            <w:noProof/>
            <w:webHidden/>
          </w:rPr>
          <w:instrText xml:space="preserve"> PAGEREF _Toc120734115 \h </w:instrText>
        </w:r>
        <w:r w:rsidR="00B01EAF" w:rsidRPr="00B01EAF">
          <w:rPr>
            <w:noProof/>
            <w:webHidden/>
          </w:rPr>
        </w:r>
        <w:r w:rsidR="00B01EAF" w:rsidRPr="00B01EAF">
          <w:rPr>
            <w:noProof/>
            <w:webHidden/>
          </w:rPr>
          <w:fldChar w:fldCharType="separate"/>
        </w:r>
        <w:r w:rsidR="006D2E03">
          <w:rPr>
            <w:noProof/>
            <w:webHidden/>
          </w:rPr>
          <w:t>229</w:t>
        </w:r>
        <w:r w:rsidR="00B01EAF" w:rsidRPr="00B01EAF">
          <w:rPr>
            <w:noProof/>
            <w:webHidden/>
          </w:rPr>
          <w:fldChar w:fldCharType="end"/>
        </w:r>
      </w:hyperlink>
    </w:p>
    <w:p w:rsidR="00B01EAF" w:rsidRPr="00B01EAF" w:rsidRDefault="00410A75" w:rsidP="0071375B">
      <w:pPr>
        <w:pStyle w:val="TableofFigures"/>
        <w:tabs>
          <w:tab w:val="right" w:leader="dot" w:pos="9038"/>
        </w:tabs>
        <w:spacing w:line="360" w:lineRule="auto"/>
        <w:jc w:val="both"/>
        <w:rPr>
          <w:rFonts w:eastAsiaTheme="minorEastAsia"/>
          <w:noProof/>
          <w:sz w:val="22"/>
          <w:lang w:eastAsia="en-IN"/>
        </w:rPr>
      </w:pPr>
      <w:hyperlink w:anchor="_Toc120734116" w:history="1">
        <w:r w:rsidR="00B01EAF" w:rsidRPr="00B01EAF">
          <w:rPr>
            <w:rStyle w:val="Hyperlink"/>
            <w:rFonts w:cstheme="minorHAnsi"/>
            <w:noProof/>
          </w:rPr>
          <w:t xml:space="preserve">Table 3B 8: Financial </w:t>
        </w:r>
        <w:r w:rsidR="00B01EAF" w:rsidRPr="00B01EAF">
          <w:rPr>
            <w:rStyle w:val="Hyperlink"/>
            <w:rFonts w:cstheme="minorHAnsi"/>
            <w:bCs/>
            <w:noProof/>
            <w:lang w:val="en-US"/>
          </w:rPr>
          <w:t>Impact of issues allowed in Review Order dated 09.09.2022 along with carrying cost (₹ Crore)</w:t>
        </w:r>
        <w:r w:rsidR="00B01EAF" w:rsidRPr="00B01EAF">
          <w:rPr>
            <w:noProof/>
            <w:webHidden/>
          </w:rPr>
          <w:tab/>
        </w:r>
        <w:r w:rsidR="00B01EAF" w:rsidRPr="00B01EAF">
          <w:rPr>
            <w:noProof/>
            <w:webHidden/>
          </w:rPr>
          <w:fldChar w:fldCharType="begin"/>
        </w:r>
        <w:r w:rsidR="00B01EAF" w:rsidRPr="00B01EAF">
          <w:rPr>
            <w:noProof/>
            <w:webHidden/>
          </w:rPr>
          <w:instrText xml:space="preserve"> PAGEREF _Toc120734116 \h </w:instrText>
        </w:r>
        <w:r w:rsidR="00B01EAF" w:rsidRPr="00B01EAF">
          <w:rPr>
            <w:noProof/>
            <w:webHidden/>
          </w:rPr>
        </w:r>
        <w:r w:rsidR="00B01EAF" w:rsidRPr="00B01EAF">
          <w:rPr>
            <w:noProof/>
            <w:webHidden/>
          </w:rPr>
          <w:fldChar w:fldCharType="separate"/>
        </w:r>
        <w:r w:rsidR="006D2E03">
          <w:rPr>
            <w:noProof/>
            <w:webHidden/>
          </w:rPr>
          <w:t>230</w:t>
        </w:r>
        <w:r w:rsidR="00B01EAF" w:rsidRPr="00B01EAF">
          <w:rPr>
            <w:noProof/>
            <w:webHidden/>
          </w:rPr>
          <w:fldChar w:fldCharType="end"/>
        </w:r>
      </w:hyperlink>
    </w:p>
    <w:p w:rsidR="00B01EAF" w:rsidRPr="00B01EAF" w:rsidRDefault="00410A75" w:rsidP="0071375B">
      <w:pPr>
        <w:pStyle w:val="TableofFigures"/>
        <w:tabs>
          <w:tab w:val="right" w:leader="dot" w:pos="9038"/>
        </w:tabs>
        <w:spacing w:line="360" w:lineRule="auto"/>
        <w:jc w:val="both"/>
        <w:rPr>
          <w:rFonts w:eastAsiaTheme="minorEastAsia"/>
          <w:noProof/>
          <w:sz w:val="22"/>
          <w:lang w:eastAsia="en-IN"/>
        </w:rPr>
      </w:pPr>
      <w:hyperlink w:anchor="_Toc120734117" w:history="1">
        <w:r w:rsidR="00B01EAF" w:rsidRPr="00B01EAF">
          <w:rPr>
            <w:rStyle w:val="Hyperlink"/>
            <w:rFonts w:cstheme="minorHAnsi"/>
            <w:noProof/>
          </w:rPr>
          <w:t>Table 3B 9: C</w:t>
        </w:r>
        <w:r w:rsidR="00B01EAF" w:rsidRPr="00B01EAF">
          <w:rPr>
            <w:rStyle w:val="Hyperlink"/>
            <w:rFonts w:cstheme="minorHAnsi"/>
            <w:bCs/>
            <w:noProof/>
            <w:lang w:val="en-US"/>
          </w:rPr>
          <w:t>omputation of increase in employee expenses based on number of consumers (₹ Crore)</w:t>
        </w:r>
        <w:r w:rsidR="00B01EAF" w:rsidRPr="00B01EAF">
          <w:rPr>
            <w:noProof/>
            <w:webHidden/>
          </w:rPr>
          <w:tab/>
        </w:r>
        <w:r w:rsidR="00B01EAF" w:rsidRPr="00B01EAF">
          <w:rPr>
            <w:noProof/>
            <w:webHidden/>
          </w:rPr>
          <w:fldChar w:fldCharType="begin"/>
        </w:r>
        <w:r w:rsidR="00B01EAF" w:rsidRPr="00B01EAF">
          <w:rPr>
            <w:noProof/>
            <w:webHidden/>
          </w:rPr>
          <w:instrText xml:space="preserve"> PAGEREF _Toc120734117 \h </w:instrText>
        </w:r>
        <w:r w:rsidR="00B01EAF" w:rsidRPr="00B01EAF">
          <w:rPr>
            <w:noProof/>
            <w:webHidden/>
          </w:rPr>
        </w:r>
        <w:r w:rsidR="00B01EAF" w:rsidRPr="00B01EAF">
          <w:rPr>
            <w:noProof/>
            <w:webHidden/>
          </w:rPr>
          <w:fldChar w:fldCharType="separate"/>
        </w:r>
        <w:r w:rsidR="006D2E03">
          <w:rPr>
            <w:noProof/>
            <w:webHidden/>
          </w:rPr>
          <w:t>232</w:t>
        </w:r>
        <w:r w:rsidR="00B01EAF" w:rsidRPr="00B01EAF">
          <w:rPr>
            <w:noProof/>
            <w:webHidden/>
          </w:rPr>
          <w:fldChar w:fldCharType="end"/>
        </w:r>
      </w:hyperlink>
    </w:p>
    <w:p w:rsidR="00B01EAF" w:rsidRPr="00B01EAF" w:rsidRDefault="00410A75" w:rsidP="0071375B">
      <w:pPr>
        <w:pStyle w:val="TableofFigures"/>
        <w:tabs>
          <w:tab w:val="right" w:leader="dot" w:pos="9038"/>
        </w:tabs>
        <w:spacing w:line="360" w:lineRule="auto"/>
        <w:jc w:val="both"/>
        <w:rPr>
          <w:rFonts w:eastAsiaTheme="minorEastAsia"/>
          <w:noProof/>
          <w:sz w:val="22"/>
          <w:lang w:eastAsia="en-IN"/>
        </w:rPr>
      </w:pPr>
      <w:hyperlink w:anchor="_Toc120734118" w:history="1">
        <w:r w:rsidR="00B01EAF" w:rsidRPr="00B01EAF">
          <w:rPr>
            <w:rStyle w:val="Hyperlink"/>
            <w:rFonts w:cstheme="minorHAnsi"/>
            <w:noProof/>
          </w:rPr>
          <w:t xml:space="preserve">Table 3B 10: Impact of </w:t>
        </w:r>
        <w:r w:rsidR="00B01EAF" w:rsidRPr="00B01EAF">
          <w:rPr>
            <w:rStyle w:val="Hyperlink"/>
            <w:rFonts w:cstheme="minorHAnsi"/>
            <w:bCs/>
            <w:noProof/>
            <w:lang w:val="en-US"/>
          </w:rPr>
          <w:t>increase in employee expenses based on number of consumers</w:t>
        </w:r>
        <w:r w:rsidR="00B01EAF" w:rsidRPr="00B01EAF">
          <w:rPr>
            <w:rStyle w:val="Hyperlink"/>
            <w:rFonts w:cstheme="minorHAnsi"/>
            <w:noProof/>
          </w:rPr>
          <w:t xml:space="preserve"> along with carrying cost</w:t>
        </w:r>
        <w:r w:rsidR="00B01EAF" w:rsidRPr="00B01EAF">
          <w:rPr>
            <w:rStyle w:val="Hyperlink"/>
            <w:rFonts w:cstheme="minorHAnsi"/>
            <w:bCs/>
            <w:noProof/>
            <w:lang w:val="en-US"/>
          </w:rPr>
          <w:t xml:space="preserve"> (₹ Crore)</w:t>
        </w:r>
        <w:r w:rsidR="00B01EAF" w:rsidRPr="00B01EAF">
          <w:rPr>
            <w:noProof/>
            <w:webHidden/>
          </w:rPr>
          <w:tab/>
        </w:r>
        <w:r w:rsidR="00B01EAF" w:rsidRPr="00B01EAF">
          <w:rPr>
            <w:noProof/>
            <w:webHidden/>
          </w:rPr>
          <w:fldChar w:fldCharType="begin"/>
        </w:r>
        <w:r w:rsidR="00B01EAF" w:rsidRPr="00B01EAF">
          <w:rPr>
            <w:noProof/>
            <w:webHidden/>
          </w:rPr>
          <w:instrText xml:space="preserve"> PAGEREF _Toc120734118 \h </w:instrText>
        </w:r>
        <w:r w:rsidR="00B01EAF" w:rsidRPr="00B01EAF">
          <w:rPr>
            <w:noProof/>
            <w:webHidden/>
          </w:rPr>
        </w:r>
        <w:r w:rsidR="00B01EAF" w:rsidRPr="00B01EAF">
          <w:rPr>
            <w:noProof/>
            <w:webHidden/>
          </w:rPr>
          <w:fldChar w:fldCharType="separate"/>
        </w:r>
        <w:r w:rsidR="006D2E03">
          <w:rPr>
            <w:noProof/>
            <w:webHidden/>
          </w:rPr>
          <w:t>234</w:t>
        </w:r>
        <w:r w:rsidR="00B01EAF" w:rsidRPr="00B01EAF">
          <w:rPr>
            <w:noProof/>
            <w:webHidden/>
          </w:rPr>
          <w:fldChar w:fldCharType="end"/>
        </w:r>
      </w:hyperlink>
    </w:p>
    <w:p w:rsidR="00B01EAF" w:rsidRPr="00B01EAF" w:rsidRDefault="00410A75" w:rsidP="0071375B">
      <w:pPr>
        <w:pStyle w:val="TableofFigures"/>
        <w:tabs>
          <w:tab w:val="right" w:leader="dot" w:pos="9038"/>
        </w:tabs>
        <w:spacing w:line="360" w:lineRule="auto"/>
        <w:jc w:val="both"/>
        <w:rPr>
          <w:rFonts w:eastAsiaTheme="minorEastAsia"/>
          <w:noProof/>
          <w:sz w:val="22"/>
          <w:lang w:eastAsia="en-IN"/>
        </w:rPr>
      </w:pPr>
      <w:hyperlink w:anchor="_Toc120734119" w:history="1">
        <w:r w:rsidR="00B01EAF" w:rsidRPr="00B01EAF">
          <w:rPr>
            <w:rStyle w:val="Hyperlink"/>
            <w:rFonts w:cstheme="minorHAnsi"/>
            <w:noProof/>
          </w:rPr>
          <w:t>Table 3B 11: R&amp;M and A&amp;G expenses for FY 2004-05</w:t>
        </w:r>
        <w:r w:rsidR="00B01EAF" w:rsidRPr="00B01EAF">
          <w:rPr>
            <w:noProof/>
            <w:webHidden/>
          </w:rPr>
          <w:tab/>
        </w:r>
        <w:r w:rsidR="00B01EAF" w:rsidRPr="00B01EAF">
          <w:rPr>
            <w:noProof/>
            <w:webHidden/>
          </w:rPr>
          <w:fldChar w:fldCharType="begin"/>
        </w:r>
        <w:r w:rsidR="00B01EAF" w:rsidRPr="00B01EAF">
          <w:rPr>
            <w:noProof/>
            <w:webHidden/>
          </w:rPr>
          <w:instrText xml:space="preserve"> PAGEREF _Toc120734119 \h </w:instrText>
        </w:r>
        <w:r w:rsidR="00B01EAF" w:rsidRPr="00B01EAF">
          <w:rPr>
            <w:noProof/>
            <w:webHidden/>
          </w:rPr>
        </w:r>
        <w:r w:rsidR="00B01EAF" w:rsidRPr="00B01EAF">
          <w:rPr>
            <w:noProof/>
            <w:webHidden/>
          </w:rPr>
          <w:fldChar w:fldCharType="separate"/>
        </w:r>
        <w:r w:rsidR="006D2E03">
          <w:rPr>
            <w:noProof/>
            <w:webHidden/>
          </w:rPr>
          <w:t>235</w:t>
        </w:r>
        <w:r w:rsidR="00B01EAF" w:rsidRPr="00B01EAF">
          <w:rPr>
            <w:noProof/>
            <w:webHidden/>
          </w:rPr>
          <w:fldChar w:fldCharType="end"/>
        </w:r>
      </w:hyperlink>
    </w:p>
    <w:p w:rsidR="00B01EAF" w:rsidRPr="00B01EAF" w:rsidRDefault="00410A75" w:rsidP="0071375B">
      <w:pPr>
        <w:pStyle w:val="TableofFigures"/>
        <w:tabs>
          <w:tab w:val="right" w:leader="dot" w:pos="9038"/>
        </w:tabs>
        <w:spacing w:line="360" w:lineRule="auto"/>
        <w:jc w:val="both"/>
        <w:rPr>
          <w:rFonts w:eastAsiaTheme="minorEastAsia"/>
          <w:noProof/>
          <w:sz w:val="22"/>
          <w:lang w:eastAsia="en-IN"/>
        </w:rPr>
      </w:pPr>
      <w:hyperlink w:anchor="_Toc120734120" w:history="1">
        <w:r w:rsidR="00B01EAF" w:rsidRPr="00B01EAF">
          <w:rPr>
            <w:rStyle w:val="Hyperlink"/>
            <w:rFonts w:cstheme="minorHAnsi"/>
            <w:noProof/>
          </w:rPr>
          <w:t xml:space="preserve">Table 3B 12: Impact of issues pending before Hon’ble Commission for implementation </w:t>
        </w:r>
        <w:r w:rsidR="00B01EAF" w:rsidRPr="00B01EAF">
          <w:rPr>
            <w:rStyle w:val="Hyperlink"/>
            <w:rFonts w:cstheme="minorHAnsi"/>
            <w:bCs/>
            <w:noProof/>
            <w:lang w:val="en-US"/>
          </w:rPr>
          <w:t xml:space="preserve"> (₹ Crore)</w:t>
        </w:r>
        <w:r w:rsidR="00B01EAF" w:rsidRPr="00B01EAF">
          <w:rPr>
            <w:noProof/>
            <w:webHidden/>
          </w:rPr>
          <w:tab/>
        </w:r>
        <w:r w:rsidR="00B01EAF" w:rsidRPr="00B01EAF">
          <w:rPr>
            <w:noProof/>
            <w:webHidden/>
          </w:rPr>
          <w:fldChar w:fldCharType="begin"/>
        </w:r>
        <w:r w:rsidR="00B01EAF" w:rsidRPr="00B01EAF">
          <w:rPr>
            <w:noProof/>
            <w:webHidden/>
          </w:rPr>
          <w:instrText xml:space="preserve"> PAGEREF _Toc120734120 \h </w:instrText>
        </w:r>
        <w:r w:rsidR="00B01EAF" w:rsidRPr="00B01EAF">
          <w:rPr>
            <w:noProof/>
            <w:webHidden/>
          </w:rPr>
        </w:r>
        <w:r w:rsidR="00B01EAF" w:rsidRPr="00B01EAF">
          <w:rPr>
            <w:noProof/>
            <w:webHidden/>
          </w:rPr>
          <w:fldChar w:fldCharType="separate"/>
        </w:r>
        <w:r w:rsidR="006D2E03">
          <w:rPr>
            <w:noProof/>
            <w:webHidden/>
          </w:rPr>
          <w:t>237</w:t>
        </w:r>
        <w:r w:rsidR="00B01EAF" w:rsidRPr="00B01EAF">
          <w:rPr>
            <w:noProof/>
            <w:webHidden/>
          </w:rPr>
          <w:fldChar w:fldCharType="end"/>
        </w:r>
      </w:hyperlink>
    </w:p>
    <w:p w:rsidR="00B01EAF" w:rsidRPr="00B01EAF" w:rsidRDefault="00410A75" w:rsidP="0071375B">
      <w:pPr>
        <w:pStyle w:val="TableofFigures"/>
        <w:tabs>
          <w:tab w:val="right" w:leader="dot" w:pos="9038"/>
        </w:tabs>
        <w:spacing w:line="360" w:lineRule="auto"/>
        <w:jc w:val="both"/>
        <w:rPr>
          <w:rFonts w:eastAsiaTheme="minorEastAsia"/>
          <w:noProof/>
          <w:sz w:val="22"/>
          <w:lang w:eastAsia="en-IN"/>
        </w:rPr>
      </w:pPr>
      <w:hyperlink w:anchor="_Toc120734121" w:history="1">
        <w:r w:rsidR="00B01EAF" w:rsidRPr="00B01EAF">
          <w:rPr>
            <w:rStyle w:val="Hyperlink"/>
            <w:rFonts w:cstheme="minorHAnsi"/>
            <w:noProof/>
            <w:lang w:val="en-US"/>
          </w:rPr>
          <w:t>Table 3B 13</w:t>
        </w:r>
        <w:r w:rsidR="00B01EAF" w:rsidRPr="00B01EAF">
          <w:rPr>
            <w:rStyle w:val="Hyperlink"/>
            <w:rFonts w:cstheme="minorHAnsi"/>
            <w:noProof/>
          </w:rPr>
          <w:t>: Appeals pending before Hon’ble APTEL</w:t>
        </w:r>
        <w:r w:rsidR="00B01EAF" w:rsidRPr="00B01EAF">
          <w:rPr>
            <w:noProof/>
            <w:webHidden/>
          </w:rPr>
          <w:tab/>
        </w:r>
        <w:r w:rsidR="00B01EAF" w:rsidRPr="00B01EAF">
          <w:rPr>
            <w:noProof/>
            <w:webHidden/>
          </w:rPr>
          <w:fldChar w:fldCharType="begin"/>
        </w:r>
        <w:r w:rsidR="00B01EAF" w:rsidRPr="00B01EAF">
          <w:rPr>
            <w:noProof/>
            <w:webHidden/>
          </w:rPr>
          <w:instrText xml:space="preserve"> PAGEREF _Toc120734121 \h </w:instrText>
        </w:r>
        <w:r w:rsidR="00B01EAF" w:rsidRPr="00B01EAF">
          <w:rPr>
            <w:noProof/>
            <w:webHidden/>
          </w:rPr>
        </w:r>
        <w:r w:rsidR="00B01EAF" w:rsidRPr="00B01EAF">
          <w:rPr>
            <w:noProof/>
            <w:webHidden/>
          </w:rPr>
          <w:fldChar w:fldCharType="separate"/>
        </w:r>
        <w:r w:rsidR="006D2E03">
          <w:rPr>
            <w:noProof/>
            <w:webHidden/>
          </w:rPr>
          <w:t>237</w:t>
        </w:r>
        <w:r w:rsidR="00B01EAF" w:rsidRPr="00B01EAF">
          <w:rPr>
            <w:noProof/>
            <w:webHidden/>
          </w:rPr>
          <w:fldChar w:fldCharType="end"/>
        </w:r>
      </w:hyperlink>
    </w:p>
    <w:p w:rsidR="00B01EAF" w:rsidRPr="00B01EAF" w:rsidRDefault="00410A75" w:rsidP="0071375B">
      <w:pPr>
        <w:pStyle w:val="TableofFigures"/>
        <w:tabs>
          <w:tab w:val="right" w:leader="dot" w:pos="9038"/>
        </w:tabs>
        <w:spacing w:line="360" w:lineRule="auto"/>
        <w:jc w:val="both"/>
        <w:rPr>
          <w:rFonts w:eastAsiaTheme="minorEastAsia"/>
          <w:noProof/>
          <w:sz w:val="22"/>
          <w:lang w:eastAsia="en-IN"/>
        </w:rPr>
      </w:pPr>
      <w:hyperlink w:anchor="_Toc120734122" w:history="1">
        <w:r w:rsidR="00B01EAF" w:rsidRPr="00B01EAF">
          <w:rPr>
            <w:rStyle w:val="Hyperlink"/>
            <w:rFonts w:cstheme="minorHAnsi"/>
            <w:noProof/>
            <w:lang w:val="en-US"/>
          </w:rPr>
          <w:t>Table 3B 14</w:t>
        </w:r>
        <w:r w:rsidR="00B01EAF" w:rsidRPr="00B01EAF">
          <w:rPr>
            <w:rStyle w:val="Hyperlink"/>
            <w:rFonts w:cstheme="minorHAnsi"/>
            <w:noProof/>
          </w:rPr>
          <w:t>: Impact of issues pending adjudication before Hon’ble APTEL (₹ Cr.)</w:t>
        </w:r>
        <w:r w:rsidR="00B01EAF" w:rsidRPr="00B01EAF">
          <w:rPr>
            <w:noProof/>
            <w:webHidden/>
          </w:rPr>
          <w:tab/>
        </w:r>
        <w:r w:rsidR="00B01EAF" w:rsidRPr="00B01EAF">
          <w:rPr>
            <w:noProof/>
            <w:webHidden/>
          </w:rPr>
          <w:fldChar w:fldCharType="begin"/>
        </w:r>
        <w:r w:rsidR="00B01EAF" w:rsidRPr="00B01EAF">
          <w:rPr>
            <w:noProof/>
            <w:webHidden/>
          </w:rPr>
          <w:instrText xml:space="preserve"> PAGEREF _Toc120734122 \h </w:instrText>
        </w:r>
        <w:r w:rsidR="00B01EAF" w:rsidRPr="00B01EAF">
          <w:rPr>
            <w:noProof/>
            <w:webHidden/>
          </w:rPr>
        </w:r>
        <w:r w:rsidR="00B01EAF" w:rsidRPr="00B01EAF">
          <w:rPr>
            <w:noProof/>
            <w:webHidden/>
          </w:rPr>
          <w:fldChar w:fldCharType="separate"/>
        </w:r>
        <w:r w:rsidR="006D2E03">
          <w:rPr>
            <w:noProof/>
            <w:webHidden/>
          </w:rPr>
          <w:t>238</w:t>
        </w:r>
        <w:r w:rsidR="00B01EAF" w:rsidRPr="00B01EAF">
          <w:rPr>
            <w:noProof/>
            <w:webHidden/>
          </w:rPr>
          <w:fldChar w:fldCharType="end"/>
        </w:r>
      </w:hyperlink>
    </w:p>
    <w:p w:rsidR="00B01EAF" w:rsidRPr="00B01EAF" w:rsidRDefault="00410A75" w:rsidP="0071375B">
      <w:pPr>
        <w:pStyle w:val="TableofFigures"/>
        <w:tabs>
          <w:tab w:val="right" w:leader="dot" w:pos="9038"/>
        </w:tabs>
        <w:spacing w:line="360" w:lineRule="auto"/>
        <w:jc w:val="both"/>
        <w:rPr>
          <w:rFonts w:eastAsiaTheme="minorEastAsia"/>
          <w:noProof/>
          <w:sz w:val="22"/>
          <w:lang w:eastAsia="en-IN"/>
        </w:rPr>
      </w:pPr>
      <w:hyperlink w:anchor="_Toc120734123" w:history="1">
        <w:r w:rsidR="00B01EAF" w:rsidRPr="00B01EAF">
          <w:rPr>
            <w:rStyle w:val="Hyperlink"/>
            <w:rFonts w:cstheme="minorHAnsi"/>
            <w:noProof/>
            <w:lang w:val="en-US"/>
          </w:rPr>
          <w:t>Table 3B 15</w:t>
        </w:r>
        <w:r w:rsidR="00B01EAF" w:rsidRPr="00B01EAF">
          <w:rPr>
            <w:rStyle w:val="Hyperlink"/>
            <w:rFonts w:cstheme="minorHAnsi"/>
            <w:noProof/>
          </w:rPr>
          <w:t>: Total unrecognised Regulatory Assets including carrying cost upto FY 2021-22(₹ Crore)</w:t>
        </w:r>
        <w:r w:rsidR="00B01EAF" w:rsidRPr="00B01EAF">
          <w:rPr>
            <w:noProof/>
            <w:webHidden/>
          </w:rPr>
          <w:tab/>
        </w:r>
        <w:r w:rsidR="00B01EAF" w:rsidRPr="00B01EAF">
          <w:rPr>
            <w:noProof/>
            <w:webHidden/>
          </w:rPr>
          <w:fldChar w:fldCharType="begin"/>
        </w:r>
        <w:r w:rsidR="00B01EAF" w:rsidRPr="00B01EAF">
          <w:rPr>
            <w:noProof/>
            <w:webHidden/>
          </w:rPr>
          <w:instrText xml:space="preserve"> PAGEREF _Toc120734123 \h </w:instrText>
        </w:r>
        <w:r w:rsidR="00B01EAF" w:rsidRPr="00B01EAF">
          <w:rPr>
            <w:noProof/>
            <w:webHidden/>
          </w:rPr>
        </w:r>
        <w:r w:rsidR="00B01EAF" w:rsidRPr="00B01EAF">
          <w:rPr>
            <w:noProof/>
            <w:webHidden/>
          </w:rPr>
          <w:fldChar w:fldCharType="separate"/>
        </w:r>
        <w:r w:rsidR="006D2E03">
          <w:rPr>
            <w:noProof/>
            <w:webHidden/>
          </w:rPr>
          <w:t>241</w:t>
        </w:r>
        <w:r w:rsidR="00B01EAF" w:rsidRPr="00B01EAF">
          <w:rPr>
            <w:noProof/>
            <w:webHidden/>
          </w:rPr>
          <w:fldChar w:fldCharType="end"/>
        </w:r>
      </w:hyperlink>
    </w:p>
    <w:p w:rsidR="00EF1615" w:rsidRPr="00AE0294" w:rsidRDefault="00BC0EFD" w:rsidP="0071375B">
      <w:pPr>
        <w:spacing w:line="360" w:lineRule="auto"/>
        <w:jc w:val="both"/>
        <w:rPr>
          <w:rFonts w:cstheme="minorHAnsi"/>
          <w:sz w:val="24"/>
          <w:szCs w:val="24"/>
        </w:rPr>
      </w:pPr>
      <w:r w:rsidRPr="00B01EAF">
        <w:rPr>
          <w:rFonts w:cstheme="minorHAnsi"/>
          <w:sz w:val="24"/>
          <w:szCs w:val="24"/>
        </w:rPr>
        <w:fldChar w:fldCharType="end"/>
      </w:r>
      <w:r w:rsidR="00EF1615" w:rsidRPr="00AE0294">
        <w:rPr>
          <w:rFonts w:cstheme="minorHAnsi"/>
          <w:sz w:val="24"/>
          <w:szCs w:val="24"/>
        </w:rPr>
        <w:br w:type="page"/>
      </w:r>
    </w:p>
    <w:p w:rsidR="00D50A3C" w:rsidRPr="00AE0294" w:rsidRDefault="00046A21" w:rsidP="00D905BC">
      <w:pPr>
        <w:pStyle w:val="Heading1"/>
        <w:spacing w:line="276" w:lineRule="auto"/>
        <w:rPr>
          <w:rFonts w:cstheme="minorHAnsi"/>
          <w:szCs w:val="24"/>
        </w:rPr>
      </w:pPr>
      <w:bookmarkStart w:id="0" w:name="_Toc120733941"/>
      <w:r w:rsidRPr="00AE0294">
        <w:rPr>
          <w:rFonts w:cstheme="minorHAnsi"/>
          <w:szCs w:val="24"/>
        </w:rPr>
        <w:lastRenderedPageBreak/>
        <w:t xml:space="preserve">Past Claims upto FY </w:t>
      </w:r>
      <w:r w:rsidR="00C01269" w:rsidRPr="00AE0294">
        <w:rPr>
          <w:rFonts w:cstheme="minorHAnsi"/>
          <w:szCs w:val="24"/>
        </w:rPr>
        <w:t>2019-20</w:t>
      </w:r>
      <w:r w:rsidR="00F75178" w:rsidRPr="00AE0294">
        <w:rPr>
          <w:rFonts w:cstheme="minorHAnsi"/>
          <w:szCs w:val="24"/>
        </w:rPr>
        <w:t xml:space="preserve"> - </w:t>
      </w:r>
      <w:r w:rsidR="00B654CB" w:rsidRPr="00AE0294">
        <w:rPr>
          <w:rFonts w:cstheme="minorHAnsi"/>
          <w:szCs w:val="24"/>
        </w:rPr>
        <w:t>Regulatory Asset yet to be recognised</w:t>
      </w:r>
      <w:bookmarkEnd w:id="0"/>
    </w:p>
    <w:p w:rsidR="00815016" w:rsidRPr="00AE0294" w:rsidRDefault="00A60701" w:rsidP="00DF40EB">
      <w:pPr>
        <w:pStyle w:val="ARRB11"/>
        <w:numPr>
          <w:ilvl w:val="1"/>
          <w:numId w:val="2"/>
        </w:numPr>
        <w:spacing w:before="0" w:after="0" w:line="360" w:lineRule="auto"/>
        <w:ind w:left="990" w:hanging="990"/>
        <w:rPr>
          <w:szCs w:val="24"/>
        </w:rPr>
      </w:pPr>
      <w:r w:rsidRPr="00AE0294">
        <w:rPr>
          <w:szCs w:val="24"/>
        </w:rPr>
        <w:t xml:space="preserve">The present Chapter deals with that portion of Regulatory Asset which is yet to be recognised by the Hon’ble Commission in Tariff Orders issued till date. </w:t>
      </w:r>
      <w:r w:rsidR="00352433" w:rsidRPr="00AE0294">
        <w:rPr>
          <w:szCs w:val="24"/>
        </w:rPr>
        <w:t xml:space="preserve">As the Petition for True-up upto FY 2020-21 filed by the Petitioner on 15.12.2021 is pending disposal by the Hon’ble Commission, the claims made therein w.r.t. certain past period issues is yet to be implemented. Hence, the Petitoner is re-claiming the same </w:t>
      </w:r>
      <w:r w:rsidR="00C02561" w:rsidRPr="00AE0294">
        <w:rPr>
          <w:szCs w:val="24"/>
        </w:rPr>
        <w:t xml:space="preserve">read with various Orders of Hon’ble APTEL and Hon’ble Supreme Court, </w:t>
      </w:r>
      <w:r w:rsidR="00352433" w:rsidRPr="00AE0294">
        <w:rPr>
          <w:szCs w:val="24"/>
        </w:rPr>
        <w:t xml:space="preserve">in this Petition. </w:t>
      </w:r>
    </w:p>
    <w:p w:rsidR="00A60701" w:rsidRPr="00AE0294" w:rsidRDefault="00A60701" w:rsidP="00DF40EB">
      <w:pPr>
        <w:pStyle w:val="ARRB11"/>
        <w:numPr>
          <w:ilvl w:val="1"/>
          <w:numId w:val="2"/>
        </w:numPr>
        <w:spacing w:before="0" w:after="0" w:line="360" w:lineRule="auto"/>
        <w:ind w:left="990" w:hanging="990"/>
        <w:rPr>
          <w:szCs w:val="24"/>
        </w:rPr>
      </w:pPr>
      <w:r w:rsidRPr="00AE0294">
        <w:rPr>
          <w:szCs w:val="24"/>
        </w:rPr>
        <w:t xml:space="preserve">The unrecognised Regulatory Asset </w:t>
      </w:r>
      <w:r w:rsidR="00BA5E41" w:rsidRPr="00AE0294">
        <w:rPr>
          <w:szCs w:val="24"/>
        </w:rPr>
        <w:t xml:space="preserve">has </w:t>
      </w:r>
      <w:r w:rsidRPr="00AE0294">
        <w:rPr>
          <w:szCs w:val="24"/>
        </w:rPr>
        <w:t>been b</w:t>
      </w:r>
      <w:r w:rsidR="00860051" w:rsidRPr="00AE0294">
        <w:rPr>
          <w:szCs w:val="24"/>
        </w:rPr>
        <w:t xml:space="preserve">ifurcated in the following </w:t>
      </w:r>
      <w:r w:rsidR="00152A84" w:rsidRPr="00AE0294">
        <w:rPr>
          <w:szCs w:val="24"/>
        </w:rPr>
        <w:t xml:space="preserve">broad </w:t>
      </w:r>
      <w:r w:rsidRPr="00AE0294">
        <w:rPr>
          <w:szCs w:val="24"/>
        </w:rPr>
        <w:t xml:space="preserve">categories:    </w:t>
      </w:r>
    </w:p>
    <w:p w:rsidR="00BA321F" w:rsidRPr="00AE0294" w:rsidRDefault="00A60701" w:rsidP="002326B1">
      <w:pPr>
        <w:pStyle w:val="ListParagraph"/>
        <w:numPr>
          <w:ilvl w:val="2"/>
          <w:numId w:val="3"/>
        </w:numPr>
        <w:spacing w:line="360" w:lineRule="auto"/>
        <w:ind w:left="1560" w:hanging="426"/>
        <w:rPr>
          <w:rFonts w:asciiTheme="minorHAnsi" w:hAnsiTheme="minorHAnsi" w:cstheme="minorHAnsi"/>
          <w:b/>
          <w:color w:val="000000" w:themeColor="text1"/>
        </w:rPr>
      </w:pPr>
      <w:r w:rsidRPr="00AE0294">
        <w:rPr>
          <w:rFonts w:asciiTheme="minorHAnsi" w:hAnsiTheme="minorHAnsi" w:cstheme="minorHAnsi"/>
          <w:b/>
          <w:color w:val="000000" w:themeColor="text1"/>
        </w:rPr>
        <w:t>Category-</w:t>
      </w:r>
      <w:r w:rsidR="00B66E1D" w:rsidRPr="00AE0294">
        <w:rPr>
          <w:rFonts w:asciiTheme="minorHAnsi" w:hAnsiTheme="minorHAnsi" w:cstheme="minorHAnsi"/>
          <w:b/>
          <w:color w:val="000000" w:themeColor="text1"/>
        </w:rPr>
        <w:t>1</w:t>
      </w:r>
      <w:r w:rsidRPr="00AE0294">
        <w:rPr>
          <w:rFonts w:asciiTheme="minorHAnsi" w:hAnsiTheme="minorHAnsi" w:cstheme="minorHAnsi"/>
          <w:b/>
          <w:color w:val="000000" w:themeColor="text1"/>
        </w:rPr>
        <w:t>:</w:t>
      </w:r>
      <w:r w:rsidR="00BA321F" w:rsidRPr="00AE0294">
        <w:rPr>
          <w:rFonts w:asciiTheme="minorHAnsi" w:hAnsiTheme="minorHAnsi" w:cstheme="minorHAnsi"/>
          <w:b/>
          <w:color w:val="000000" w:themeColor="text1"/>
        </w:rPr>
        <w:t xml:space="preserve"> Implementation of </w:t>
      </w:r>
      <w:r w:rsidR="00815016" w:rsidRPr="00AE0294">
        <w:rPr>
          <w:rFonts w:asciiTheme="minorHAnsi" w:hAnsiTheme="minorHAnsi" w:cstheme="minorHAnsi"/>
          <w:b/>
          <w:color w:val="000000" w:themeColor="text1"/>
        </w:rPr>
        <w:t>Hon’ble Supreme Court</w:t>
      </w:r>
      <w:r w:rsidR="00BA321F" w:rsidRPr="00AE0294">
        <w:rPr>
          <w:rFonts w:asciiTheme="minorHAnsi" w:hAnsiTheme="minorHAnsi" w:cstheme="minorHAnsi"/>
          <w:b/>
          <w:color w:val="000000" w:themeColor="text1"/>
        </w:rPr>
        <w:t xml:space="preserve"> </w:t>
      </w:r>
      <w:r w:rsidR="00815016" w:rsidRPr="00AE0294">
        <w:rPr>
          <w:rFonts w:asciiTheme="minorHAnsi" w:hAnsiTheme="minorHAnsi" w:cstheme="minorHAnsi"/>
          <w:b/>
          <w:color w:val="000000" w:themeColor="text1"/>
        </w:rPr>
        <w:t xml:space="preserve">(SC) </w:t>
      </w:r>
      <w:r w:rsidR="00BA321F" w:rsidRPr="00AE0294">
        <w:rPr>
          <w:rFonts w:asciiTheme="minorHAnsi" w:hAnsiTheme="minorHAnsi" w:cstheme="minorHAnsi"/>
          <w:b/>
          <w:color w:val="000000" w:themeColor="text1"/>
        </w:rPr>
        <w:t>judgments:</w:t>
      </w:r>
    </w:p>
    <w:p w:rsidR="00BA321F" w:rsidRPr="00AE0294" w:rsidRDefault="00BA321F" w:rsidP="00815016">
      <w:pPr>
        <w:pStyle w:val="ListParagraph"/>
        <w:spacing w:line="360" w:lineRule="auto"/>
        <w:ind w:left="1701" w:hanging="567"/>
        <w:rPr>
          <w:rFonts w:asciiTheme="minorHAnsi" w:hAnsiTheme="minorHAnsi" w:cstheme="minorHAnsi"/>
          <w:color w:val="000000" w:themeColor="text1"/>
        </w:rPr>
      </w:pPr>
      <w:r w:rsidRPr="00AE0294">
        <w:rPr>
          <w:rFonts w:asciiTheme="minorHAnsi" w:hAnsiTheme="minorHAnsi" w:cstheme="minorHAnsi"/>
          <w:color w:val="000000" w:themeColor="text1"/>
        </w:rPr>
        <w:t xml:space="preserve">1A. </w:t>
      </w:r>
      <w:r w:rsidR="00815016" w:rsidRPr="00AE0294">
        <w:rPr>
          <w:rFonts w:asciiTheme="minorHAnsi" w:hAnsiTheme="minorHAnsi" w:cstheme="minorHAnsi"/>
          <w:color w:val="000000" w:themeColor="text1"/>
        </w:rPr>
        <w:tab/>
      </w:r>
      <w:r w:rsidR="00C6492A" w:rsidRPr="00AE0294">
        <w:rPr>
          <w:rFonts w:asciiTheme="minorHAnsi" w:hAnsiTheme="minorHAnsi" w:cstheme="minorHAnsi"/>
          <w:color w:val="000000" w:themeColor="text1"/>
        </w:rPr>
        <w:t xml:space="preserve">Impact of APTEL Judgements which have attained finality vide </w:t>
      </w:r>
      <w:r w:rsidR="00815016" w:rsidRPr="00AE0294">
        <w:rPr>
          <w:rFonts w:asciiTheme="minorHAnsi" w:hAnsiTheme="minorHAnsi" w:cstheme="minorHAnsi"/>
          <w:color w:val="000000" w:themeColor="text1"/>
        </w:rPr>
        <w:t>Hon’ble SC</w:t>
      </w:r>
      <w:r w:rsidR="00C6492A" w:rsidRPr="00AE0294">
        <w:rPr>
          <w:rFonts w:asciiTheme="minorHAnsi" w:hAnsiTheme="minorHAnsi" w:cstheme="minorHAnsi"/>
          <w:color w:val="000000" w:themeColor="text1"/>
        </w:rPr>
        <w:t xml:space="preserve"> Order dated 01.12.2021</w:t>
      </w:r>
    </w:p>
    <w:p w:rsidR="002429B6" w:rsidRPr="00AE0294" w:rsidRDefault="002429B6" w:rsidP="002326B1">
      <w:pPr>
        <w:pStyle w:val="ListParagraph"/>
        <w:numPr>
          <w:ilvl w:val="3"/>
          <w:numId w:val="3"/>
        </w:numPr>
        <w:spacing w:line="360" w:lineRule="auto"/>
        <w:ind w:left="2410" w:hanging="567"/>
        <w:rPr>
          <w:rFonts w:asciiTheme="minorHAnsi" w:hAnsiTheme="minorHAnsi" w:cstheme="minorHAnsi"/>
          <w:color w:val="000000" w:themeColor="text1"/>
        </w:rPr>
      </w:pPr>
      <w:r w:rsidRPr="00AE0294">
        <w:rPr>
          <w:rFonts w:asciiTheme="minorHAnsi" w:hAnsiTheme="minorHAnsi" w:cstheme="minorHAnsi"/>
          <w:color w:val="000000" w:themeColor="text1"/>
        </w:rPr>
        <w:t xml:space="preserve">Impact of </w:t>
      </w:r>
      <w:r w:rsidR="00533CAA" w:rsidRPr="00AE0294">
        <w:rPr>
          <w:rFonts w:asciiTheme="minorHAnsi" w:hAnsiTheme="minorHAnsi" w:cstheme="minorHAnsi"/>
          <w:color w:val="000000" w:themeColor="text1"/>
        </w:rPr>
        <w:t xml:space="preserve">issues decided in </w:t>
      </w:r>
      <w:r w:rsidRPr="00AE0294">
        <w:rPr>
          <w:rFonts w:asciiTheme="minorHAnsi" w:hAnsiTheme="minorHAnsi" w:cstheme="minorHAnsi"/>
          <w:color w:val="000000" w:themeColor="text1"/>
        </w:rPr>
        <w:t>Civil Appeal No. 884-980 of 2010</w:t>
      </w:r>
      <w:r w:rsidR="00D95CE5" w:rsidRPr="00AE0294">
        <w:rPr>
          <w:rFonts w:asciiTheme="minorHAnsi" w:hAnsiTheme="minorHAnsi" w:cstheme="minorHAnsi"/>
          <w:color w:val="000000" w:themeColor="text1"/>
        </w:rPr>
        <w:t xml:space="preserve"> (arising from APTEL judgment dated 06.10.2009</w:t>
      </w:r>
      <w:r w:rsidR="00D90DA1" w:rsidRPr="00AE0294">
        <w:rPr>
          <w:rFonts w:asciiTheme="minorHAnsi" w:hAnsiTheme="minorHAnsi" w:cstheme="minorHAnsi"/>
          <w:color w:val="000000" w:themeColor="text1"/>
        </w:rPr>
        <w:t xml:space="preserve">&amp; 30.10.2009 </w:t>
      </w:r>
      <w:r w:rsidR="00D95CE5" w:rsidRPr="00AE0294">
        <w:rPr>
          <w:rFonts w:asciiTheme="minorHAnsi" w:hAnsiTheme="minorHAnsi" w:cstheme="minorHAnsi"/>
          <w:color w:val="000000" w:themeColor="text1"/>
        </w:rPr>
        <w:t>in Appeal No. 36</w:t>
      </w:r>
      <w:r w:rsidR="00D90DA1" w:rsidRPr="00AE0294">
        <w:rPr>
          <w:rFonts w:asciiTheme="minorHAnsi" w:hAnsiTheme="minorHAnsi" w:cstheme="minorHAnsi"/>
          <w:color w:val="000000" w:themeColor="text1"/>
        </w:rPr>
        <w:t>&amp; 37</w:t>
      </w:r>
      <w:r w:rsidR="00D95CE5" w:rsidRPr="00AE0294">
        <w:rPr>
          <w:rFonts w:asciiTheme="minorHAnsi" w:hAnsiTheme="minorHAnsi" w:cstheme="minorHAnsi"/>
          <w:color w:val="000000" w:themeColor="text1"/>
        </w:rPr>
        <w:t xml:space="preserve"> of 20</w:t>
      </w:r>
      <w:r w:rsidR="00D90DA1" w:rsidRPr="00AE0294">
        <w:rPr>
          <w:rFonts w:asciiTheme="minorHAnsi" w:hAnsiTheme="minorHAnsi" w:cstheme="minorHAnsi"/>
          <w:color w:val="000000" w:themeColor="text1"/>
        </w:rPr>
        <w:t>08)</w:t>
      </w:r>
    </w:p>
    <w:p w:rsidR="00D90DA1" w:rsidRPr="00AE0294" w:rsidRDefault="002429B6" w:rsidP="002326B1">
      <w:pPr>
        <w:pStyle w:val="ListParagraph"/>
        <w:numPr>
          <w:ilvl w:val="3"/>
          <w:numId w:val="3"/>
        </w:numPr>
        <w:spacing w:line="360" w:lineRule="auto"/>
        <w:ind w:left="2410" w:hanging="567"/>
        <w:rPr>
          <w:rFonts w:asciiTheme="minorHAnsi" w:hAnsiTheme="minorHAnsi" w:cstheme="minorHAnsi"/>
          <w:color w:val="000000" w:themeColor="text1"/>
        </w:rPr>
      </w:pPr>
      <w:r w:rsidRPr="00AE0294">
        <w:rPr>
          <w:rFonts w:asciiTheme="minorHAnsi" w:hAnsiTheme="minorHAnsi" w:cstheme="minorHAnsi"/>
          <w:color w:val="000000" w:themeColor="text1"/>
        </w:rPr>
        <w:t xml:space="preserve">Impact of </w:t>
      </w:r>
      <w:r w:rsidR="00533CAA" w:rsidRPr="00AE0294">
        <w:rPr>
          <w:rFonts w:asciiTheme="minorHAnsi" w:hAnsiTheme="minorHAnsi" w:cstheme="minorHAnsi"/>
          <w:color w:val="000000" w:themeColor="text1"/>
        </w:rPr>
        <w:t xml:space="preserve">issues decided in </w:t>
      </w:r>
      <w:r w:rsidRPr="00AE0294">
        <w:rPr>
          <w:rFonts w:asciiTheme="minorHAnsi" w:hAnsiTheme="minorHAnsi" w:cstheme="minorHAnsi"/>
          <w:color w:val="000000" w:themeColor="text1"/>
        </w:rPr>
        <w:t>Civil Appeal No. 9003-9004 of 2011</w:t>
      </w:r>
      <w:r w:rsidR="00D90DA1" w:rsidRPr="00AE0294">
        <w:rPr>
          <w:rFonts w:asciiTheme="minorHAnsi" w:hAnsiTheme="minorHAnsi" w:cstheme="minorHAnsi"/>
          <w:color w:val="000000" w:themeColor="text1"/>
        </w:rPr>
        <w:t xml:space="preserve"> (arising from APTEL judgment dated 12.07.2011 in Appeal No. 142 &amp; 142 of 2009)</w:t>
      </w:r>
    </w:p>
    <w:p w:rsidR="002429B6" w:rsidRPr="00AE0294" w:rsidRDefault="002429B6" w:rsidP="002326B1">
      <w:pPr>
        <w:pStyle w:val="ListParagraph"/>
        <w:numPr>
          <w:ilvl w:val="3"/>
          <w:numId w:val="3"/>
        </w:numPr>
        <w:spacing w:line="360" w:lineRule="auto"/>
        <w:ind w:left="2410" w:hanging="567"/>
        <w:rPr>
          <w:rFonts w:asciiTheme="minorHAnsi" w:hAnsiTheme="minorHAnsi" w:cstheme="minorHAnsi"/>
          <w:color w:val="000000" w:themeColor="text1"/>
        </w:rPr>
      </w:pPr>
      <w:r w:rsidRPr="00AE0294">
        <w:rPr>
          <w:rFonts w:asciiTheme="minorHAnsi" w:hAnsiTheme="minorHAnsi" w:cstheme="minorHAnsi"/>
          <w:color w:val="000000" w:themeColor="text1"/>
        </w:rPr>
        <w:t xml:space="preserve">Impact of </w:t>
      </w:r>
      <w:r w:rsidR="002C2705" w:rsidRPr="00AE0294">
        <w:rPr>
          <w:rFonts w:asciiTheme="minorHAnsi" w:hAnsiTheme="minorHAnsi" w:cstheme="minorHAnsi"/>
          <w:color w:val="000000" w:themeColor="text1"/>
        </w:rPr>
        <w:t xml:space="preserve">Principles laid down in </w:t>
      </w:r>
      <w:r w:rsidR="00937BC7" w:rsidRPr="00AE0294">
        <w:rPr>
          <w:rFonts w:asciiTheme="minorHAnsi" w:hAnsiTheme="minorHAnsi" w:cstheme="minorHAnsi"/>
          <w:color w:val="000000" w:themeColor="text1"/>
        </w:rPr>
        <w:t xml:space="preserve">the judgment in </w:t>
      </w:r>
      <w:r w:rsidRPr="00AE0294">
        <w:rPr>
          <w:rFonts w:asciiTheme="minorHAnsi" w:hAnsiTheme="minorHAnsi" w:cstheme="minorHAnsi"/>
          <w:color w:val="000000" w:themeColor="text1"/>
        </w:rPr>
        <w:t>Civil Appeal No. 1854-1855 of 2013</w:t>
      </w:r>
      <w:r w:rsidR="00D95CE5" w:rsidRPr="00AE0294">
        <w:rPr>
          <w:rFonts w:asciiTheme="minorHAnsi" w:hAnsiTheme="minorHAnsi" w:cstheme="minorHAnsi"/>
          <w:color w:val="000000" w:themeColor="text1"/>
        </w:rPr>
        <w:t xml:space="preserve"> (</w:t>
      </w:r>
      <w:r w:rsidR="00D90DA1" w:rsidRPr="00AE0294">
        <w:rPr>
          <w:rFonts w:asciiTheme="minorHAnsi" w:hAnsiTheme="minorHAnsi" w:cstheme="minorHAnsi"/>
          <w:color w:val="000000" w:themeColor="text1"/>
        </w:rPr>
        <w:t xml:space="preserve">arising from APTEL judgment dated </w:t>
      </w:r>
      <w:r w:rsidR="00686FE1" w:rsidRPr="00AE0294">
        <w:rPr>
          <w:rFonts w:asciiTheme="minorHAnsi" w:hAnsiTheme="minorHAnsi" w:cstheme="minorHAnsi"/>
          <w:color w:val="000000" w:themeColor="text1"/>
        </w:rPr>
        <w:t>14</w:t>
      </w:r>
      <w:r w:rsidR="00D90DA1" w:rsidRPr="00AE0294">
        <w:rPr>
          <w:rFonts w:asciiTheme="minorHAnsi" w:hAnsiTheme="minorHAnsi" w:cstheme="minorHAnsi"/>
          <w:color w:val="000000" w:themeColor="text1"/>
        </w:rPr>
        <w:t xml:space="preserve">.11.2013 in </w:t>
      </w:r>
      <w:r w:rsidR="00D95CE5" w:rsidRPr="00AE0294">
        <w:rPr>
          <w:rFonts w:asciiTheme="minorHAnsi" w:hAnsiTheme="minorHAnsi" w:cstheme="minorHAnsi"/>
          <w:color w:val="000000" w:themeColor="text1"/>
        </w:rPr>
        <w:t>O.P</w:t>
      </w:r>
      <w:r w:rsidR="00A857EC" w:rsidRPr="00AE0294">
        <w:rPr>
          <w:rFonts w:asciiTheme="minorHAnsi" w:hAnsiTheme="minorHAnsi" w:cstheme="minorHAnsi"/>
          <w:color w:val="000000" w:themeColor="text1"/>
        </w:rPr>
        <w:t>. 1 an</w:t>
      </w:r>
      <w:r w:rsidR="00D95CE5" w:rsidRPr="00AE0294">
        <w:rPr>
          <w:rFonts w:asciiTheme="minorHAnsi" w:hAnsiTheme="minorHAnsi" w:cstheme="minorHAnsi"/>
          <w:color w:val="000000" w:themeColor="text1"/>
        </w:rPr>
        <w:t>d 2 of 2012)</w:t>
      </w:r>
    </w:p>
    <w:p w:rsidR="00BA321F" w:rsidRPr="00AE0294" w:rsidRDefault="00BA321F" w:rsidP="000C22FB">
      <w:pPr>
        <w:pStyle w:val="ListParagraph"/>
        <w:spacing w:line="360" w:lineRule="auto"/>
        <w:ind w:left="1701" w:hanging="567"/>
        <w:rPr>
          <w:rFonts w:asciiTheme="minorHAnsi" w:hAnsiTheme="minorHAnsi" w:cstheme="minorHAnsi"/>
          <w:color w:val="000000" w:themeColor="text1"/>
        </w:rPr>
      </w:pPr>
      <w:r w:rsidRPr="00AE0294">
        <w:rPr>
          <w:rFonts w:asciiTheme="minorHAnsi" w:hAnsiTheme="minorHAnsi" w:cstheme="minorHAnsi"/>
          <w:color w:val="000000" w:themeColor="text1"/>
        </w:rPr>
        <w:t xml:space="preserve">1B. </w:t>
      </w:r>
      <w:r w:rsidR="000C22FB" w:rsidRPr="00AE0294">
        <w:rPr>
          <w:rFonts w:asciiTheme="minorHAnsi" w:hAnsiTheme="minorHAnsi" w:cstheme="minorHAnsi"/>
          <w:color w:val="000000" w:themeColor="text1"/>
        </w:rPr>
        <w:tab/>
      </w:r>
      <w:r w:rsidRPr="00AE0294">
        <w:rPr>
          <w:rFonts w:asciiTheme="minorHAnsi" w:hAnsiTheme="minorHAnsi" w:cstheme="minorHAnsi"/>
          <w:color w:val="000000" w:themeColor="text1"/>
        </w:rPr>
        <w:t xml:space="preserve">Impact of </w:t>
      </w:r>
      <w:r w:rsidR="00AB4EC7" w:rsidRPr="00AE0294">
        <w:rPr>
          <w:rFonts w:asciiTheme="minorHAnsi" w:hAnsiTheme="minorHAnsi" w:cstheme="minorHAnsi"/>
          <w:color w:val="000000" w:themeColor="text1"/>
        </w:rPr>
        <w:t xml:space="preserve">Hon’ble </w:t>
      </w:r>
      <w:r w:rsidRPr="00AE0294">
        <w:rPr>
          <w:rFonts w:asciiTheme="minorHAnsi" w:hAnsiTheme="minorHAnsi" w:cstheme="minorHAnsi"/>
          <w:color w:val="000000" w:themeColor="text1"/>
        </w:rPr>
        <w:t>Supr</w:t>
      </w:r>
      <w:r w:rsidR="008E6EFF" w:rsidRPr="00AE0294">
        <w:rPr>
          <w:rFonts w:asciiTheme="minorHAnsi" w:hAnsiTheme="minorHAnsi" w:cstheme="minorHAnsi"/>
          <w:color w:val="000000" w:themeColor="text1"/>
        </w:rPr>
        <w:t>e</w:t>
      </w:r>
      <w:r w:rsidRPr="00AE0294">
        <w:rPr>
          <w:rFonts w:asciiTheme="minorHAnsi" w:hAnsiTheme="minorHAnsi" w:cstheme="minorHAnsi"/>
          <w:color w:val="000000" w:themeColor="text1"/>
        </w:rPr>
        <w:t xml:space="preserve">me Court </w:t>
      </w:r>
      <w:r w:rsidR="00533CAA" w:rsidRPr="00AE0294">
        <w:rPr>
          <w:rFonts w:asciiTheme="minorHAnsi" w:hAnsiTheme="minorHAnsi" w:cstheme="minorHAnsi"/>
          <w:color w:val="000000" w:themeColor="text1"/>
        </w:rPr>
        <w:t xml:space="preserve">Judgment and </w:t>
      </w:r>
      <w:r w:rsidRPr="00AE0294">
        <w:rPr>
          <w:rFonts w:asciiTheme="minorHAnsi" w:hAnsiTheme="minorHAnsi" w:cstheme="minorHAnsi"/>
          <w:color w:val="000000" w:themeColor="text1"/>
        </w:rPr>
        <w:t>Order dated 18.10.2022</w:t>
      </w:r>
    </w:p>
    <w:p w:rsidR="00322F30" w:rsidRPr="00AE0294" w:rsidRDefault="00533CAA" w:rsidP="00BC3A95">
      <w:pPr>
        <w:pStyle w:val="ListParagraph"/>
        <w:numPr>
          <w:ilvl w:val="0"/>
          <w:numId w:val="7"/>
        </w:numPr>
        <w:spacing w:line="360" w:lineRule="auto"/>
        <w:ind w:left="2410" w:hanging="567"/>
        <w:rPr>
          <w:rFonts w:asciiTheme="minorHAnsi" w:hAnsiTheme="minorHAnsi" w:cstheme="minorHAnsi"/>
          <w:color w:val="000000" w:themeColor="text1"/>
        </w:rPr>
      </w:pPr>
      <w:r w:rsidRPr="00AE0294">
        <w:rPr>
          <w:rFonts w:asciiTheme="minorHAnsi" w:hAnsiTheme="minorHAnsi" w:cstheme="minorHAnsi"/>
          <w:color w:val="000000" w:themeColor="text1"/>
        </w:rPr>
        <w:t>Impact of issues decided in Civil Appeal 4323-4324 of 2015</w:t>
      </w:r>
      <w:r w:rsidR="00037183" w:rsidRPr="00AE0294">
        <w:rPr>
          <w:rFonts w:asciiTheme="minorHAnsi" w:hAnsiTheme="minorHAnsi" w:cstheme="minorHAnsi"/>
          <w:color w:val="000000" w:themeColor="text1"/>
        </w:rPr>
        <w:t xml:space="preserve"> (arising from APTEL judgment dated </w:t>
      </w:r>
      <w:r w:rsidR="008E6EFF" w:rsidRPr="00AE0294">
        <w:rPr>
          <w:rFonts w:asciiTheme="minorHAnsi" w:hAnsiTheme="minorHAnsi" w:cstheme="minorHAnsi"/>
          <w:color w:val="000000" w:themeColor="text1"/>
        </w:rPr>
        <w:t>28.11.2014</w:t>
      </w:r>
      <w:r w:rsidR="00037183" w:rsidRPr="00AE0294">
        <w:rPr>
          <w:rFonts w:asciiTheme="minorHAnsi" w:hAnsiTheme="minorHAnsi" w:cstheme="minorHAnsi"/>
          <w:color w:val="000000" w:themeColor="text1"/>
        </w:rPr>
        <w:t xml:space="preserve"> in Appeal No. </w:t>
      </w:r>
      <w:r w:rsidR="008E6EFF" w:rsidRPr="00AE0294">
        <w:rPr>
          <w:rFonts w:asciiTheme="minorHAnsi" w:hAnsiTheme="minorHAnsi" w:cstheme="minorHAnsi"/>
          <w:color w:val="000000" w:themeColor="text1"/>
        </w:rPr>
        <w:t>61 &amp;62 of 2012</w:t>
      </w:r>
      <w:r w:rsidR="00037183" w:rsidRPr="00AE0294">
        <w:rPr>
          <w:rFonts w:asciiTheme="minorHAnsi" w:hAnsiTheme="minorHAnsi" w:cstheme="minorHAnsi"/>
          <w:color w:val="000000" w:themeColor="text1"/>
        </w:rPr>
        <w:t>)</w:t>
      </w:r>
    </w:p>
    <w:p w:rsidR="00533CAA" w:rsidRPr="00AE0294" w:rsidRDefault="00533CAA" w:rsidP="00BC3A95">
      <w:pPr>
        <w:pStyle w:val="ListParagraph"/>
        <w:numPr>
          <w:ilvl w:val="0"/>
          <w:numId w:val="7"/>
        </w:numPr>
        <w:spacing w:line="360" w:lineRule="auto"/>
        <w:ind w:left="2410" w:hanging="567"/>
        <w:rPr>
          <w:rFonts w:asciiTheme="minorHAnsi" w:hAnsiTheme="minorHAnsi" w:cstheme="minorHAnsi"/>
          <w:color w:val="000000" w:themeColor="text1"/>
        </w:rPr>
      </w:pPr>
      <w:r w:rsidRPr="00AE0294">
        <w:rPr>
          <w:rFonts w:asciiTheme="minorHAnsi" w:hAnsiTheme="minorHAnsi" w:cstheme="minorHAnsi"/>
          <w:color w:val="000000" w:themeColor="text1"/>
        </w:rPr>
        <w:t>Impact of the Principles decided in the Judgment on other issues.</w:t>
      </w:r>
    </w:p>
    <w:p w:rsidR="00A60701" w:rsidRPr="00AE0294" w:rsidRDefault="00C50892" w:rsidP="00610AE8">
      <w:pPr>
        <w:pStyle w:val="ListParagraph"/>
        <w:numPr>
          <w:ilvl w:val="2"/>
          <w:numId w:val="3"/>
        </w:numPr>
        <w:spacing w:line="360" w:lineRule="auto"/>
        <w:ind w:left="1560" w:hanging="426"/>
        <w:rPr>
          <w:rFonts w:asciiTheme="minorHAnsi" w:hAnsiTheme="minorHAnsi" w:cstheme="minorHAnsi"/>
          <w:b/>
          <w:color w:val="000000" w:themeColor="text1"/>
        </w:rPr>
      </w:pPr>
      <w:r w:rsidRPr="00AE0294">
        <w:rPr>
          <w:rFonts w:asciiTheme="minorHAnsi" w:hAnsiTheme="minorHAnsi" w:cstheme="minorHAnsi"/>
          <w:b/>
          <w:color w:val="000000" w:themeColor="text1"/>
        </w:rPr>
        <w:t>Category-2:</w:t>
      </w:r>
      <w:r w:rsidR="00B66E1D" w:rsidRPr="00AE0294">
        <w:rPr>
          <w:rFonts w:asciiTheme="minorHAnsi" w:hAnsiTheme="minorHAnsi" w:cstheme="minorHAnsi"/>
          <w:b/>
          <w:color w:val="000000" w:themeColor="text1"/>
        </w:rPr>
        <w:t xml:space="preserve">Impact of issues </w:t>
      </w:r>
      <w:r w:rsidR="00CB30ED" w:rsidRPr="00AE0294">
        <w:rPr>
          <w:rFonts w:asciiTheme="minorHAnsi" w:hAnsiTheme="minorHAnsi" w:cstheme="minorHAnsi"/>
          <w:b/>
          <w:color w:val="000000" w:themeColor="text1"/>
        </w:rPr>
        <w:t>pending before Hon’ble Commission for implementation</w:t>
      </w:r>
      <w:r w:rsidR="00333B5A" w:rsidRPr="00AE0294">
        <w:rPr>
          <w:rFonts w:asciiTheme="minorHAnsi" w:hAnsiTheme="minorHAnsi" w:cstheme="minorHAnsi"/>
          <w:b/>
          <w:color w:val="000000" w:themeColor="text1"/>
        </w:rPr>
        <w:t>.</w:t>
      </w:r>
    </w:p>
    <w:p w:rsidR="00A60701" w:rsidRPr="00AE0294" w:rsidRDefault="008F6B63" w:rsidP="00CE1ADC">
      <w:pPr>
        <w:pStyle w:val="ListParagraph"/>
        <w:numPr>
          <w:ilvl w:val="2"/>
          <w:numId w:val="3"/>
        </w:numPr>
        <w:spacing w:line="360" w:lineRule="auto"/>
        <w:ind w:left="1560" w:hanging="426"/>
        <w:rPr>
          <w:rFonts w:asciiTheme="minorHAnsi" w:hAnsiTheme="minorHAnsi" w:cstheme="minorHAnsi"/>
        </w:rPr>
      </w:pPr>
      <w:r w:rsidRPr="00AE0294">
        <w:rPr>
          <w:rFonts w:asciiTheme="minorHAnsi" w:hAnsiTheme="minorHAnsi" w:cstheme="minorHAnsi"/>
          <w:b/>
          <w:color w:val="000000" w:themeColor="text1"/>
        </w:rPr>
        <w:t>Category-</w:t>
      </w:r>
      <w:r w:rsidR="00A12EBE" w:rsidRPr="00AE0294">
        <w:rPr>
          <w:rFonts w:asciiTheme="minorHAnsi" w:hAnsiTheme="minorHAnsi" w:cstheme="minorHAnsi"/>
          <w:b/>
          <w:color w:val="000000" w:themeColor="text1"/>
        </w:rPr>
        <w:t>3</w:t>
      </w:r>
      <w:r w:rsidR="00A60701" w:rsidRPr="00AE0294">
        <w:rPr>
          <w:rFonts w:asciiTheme="minorHAnsi" w:hAnsiTheme="minorHAnsi" w:cstheme="minorHAnsi"/>
          <w:b/>
          <w:color w:val="000000" w:themeColor="text1"/>
        </w:rPr>
        <w:t>:</w:t>
      </w:r>
      <w:r w:rsidRPr="00AE0294">
        <w:rPr>
          <w:rFonts w:asciiTheme="minorHAnsi" w:hAnsiTheme="minorHAnsi" w:cstheme="minorHAnsi"/>
          <w:b/>
          <w:color w:val="000000" w:themeColor="text1"/>
        </w:rPr>
        <w:tab/>
      </w:r>
      <w:r w:rsidR="00A60701" w:rsidRPr="00AE0294">
        <w:rPr>
          <w:rFonts w:asciiTheme="minorHAnsi" w:hAnsiTheme="minorHAnsi" w:cstheme="minorHAnsi"/>
          <w:b/>
          <w:color w:val="000000" w:themeColor="text1"/>
        </w:rPr>
        <w:t xml:space="preserve">Impact of issues challenged in Appeal </w:t>
      </w:r>
      <w:r w:rsidR="00152A84" w:rsidRPr="00AE0294">
        <w:rPr>
          <w:rFonts w:asciiTheme="minorHAnsi" w:hAnsiTheme="minorHAnsi" w:cstheme="minorHAnsi"/>
          <w:b/>
          <w:color w:val="000000" w:themeColor="text1"/>
        </w:rPr>
        <w:t xml:space="preserve">and </w:t>
      </w:r>
      <w:r w:rsidR="00A60701" w:rsidRPr="00AE0294">
        <w:rPr>
          <w:rFonts w:asciiTheme="minorHAnsi" w:hAnsiTheme="minorHAnsi" w:cstheme="minorHAnsi"/>
          <w:b/>
          <w:color w:val="000000" w:themeColor="text1"/>
        </w:rPr>
        <w:t>pending adjudication</w:t>
      </w:r>
      <w:r w:rsidR="00A60701" w:rsidRPr="00AE0294">
        <w:rPr>
          <w:rFonts w:asciiTheme="minorHAnsi" w:hAnsiTheme="minorHAnsi" w:cstheme="minorHAnsi"/>
          <w:b/>
        </w:rPr>
        <w:t xml:space="preserve"> before </w:t>
      </w:r>
      <w:r w:rsidR="00152A84" w:rsidRPr="00AE0294">
        <w:rPr>
          <w:rFonts w:asciiTheme="minorHAnsi" w:hAnsiTheme="minorHAnsi" w:cstheme="minorHAnsi"/>
          <w:b/>
        </w:rPr>
        <w:t xml:space="preserve">the </w:t>
      </w:r>
      <w:r w:rsidR="00A60701" w:rsidRPr="00AE0294">
        <w:rPr>
          <w:rFonts w:asciiTheme="minorHAnsi" w:hAnsiTheme="minorHAnsi" w:cstheme="minorHAnsi"/>
          <w:b/>
        </w:rPr>
        <w:t>Hon’ble APTEL</w:t>
      </w:r>
      <w:r w:rsidR="003D6A95" w:rsidRPr="00AE0294">
        <w:rPr>
          <w:rFonts w:asciiTheme="minorHAnsi" w:hAnsiTheme="minorHAnsi" w:cstheme="minorHAnsi"/>
          <w:b/>
        </w:rPr>
        <w:t>.</w:t>
      </w:r>
    </w:p>
    <w:p w:rsidR="008E6F91" w:rsidRPr="00AE0294" w:rsidRDefault="008E6F91" w:rsidP="008E6F91">
      <w:pPr>
        <w:pStyle w:val="ListParagraph"/>
        <w:spacing w:line="276" w:lineRule="auto"/>
        <w:ind w:left="1560"/>
        <w:rPr>
          <w:rFonts w:asciiTheme="minorHAnsi" w:hAnsiTheme="minorHAnsi" w:cstheme="minorHAnsi"/>
        </w:rPr>
      </w:pPr>
    </w:p>
    <w:p w:rsidR="009141CD" w:rsidRPr="00AE0294" w:rsidRDefault="009141CD" w:rsidP="009141CD">
      <w:pPr>
        <w:pStyle w:val="Heading1"/>
        <w:ind w:left="1418" w:hanging="1418"/>
        <w:jc w:val="both"/>
        <w:rPr>
          <w:rFonts w:cstheme="minorHAnsi"/>
          <w:szCs w:val="24"/>
        </w:rPr>
      </w:pPr>
      <w:bookmarkStart w:id="1" w:name="_Toc120733942"/>
      <w:r w:rsidRPr="00AE0294">
        <w:rPr>
          <w:rFonts w:cstheme="minorHAnsi"/>
          <w:szCs w:val="24"/>
        </w:rPr>
        <w:t>Category 1A:</w:t>
      </w:r>
      <w:r w:rsidRPr="00AE0294">
        <w:rPr>
          <w:rFonts w:cstheme="minorHAnsi"/>
          <w:szCs w:val="24"/>
        </w:rPr>
        <w:tab/>
      </w:r>
      <w:r w:rsidR="00861DB9" w:rsidRPr="00AE0294">
        <w:rPr>
          <w:rFonts w:cstheme="minorHAnsi"/>
          <w:color w:val="000000" w:themeColor="text1"/>
          <w:szCs w:val="24"/>
        </w:rPr>
        <w:t>Impact of APTEL Judgements which have attained finality vide Hon’ble SC Order dated 01.12.2021</w:t>
      </w:r>
      <w:bookmarkEnd w:id="1"/>
    </w:p>
    <w:p w:rsidR="009141CD" w:rsidRPr="00AE0294" w:rsidRDefault="009141CD" w:rsidP="009141CD">
      <w:pPr>
        <w:pStyle w:val="ARRB11"/>
        <w:numPr>
          <w:ilvl w:val="1"/>
          <w:numId w:val="2"/>
        </w:numPr>
        <w:ind w:left="990" w:hanging="990"/>
        <w:rPr>
          <w:szCs w:val="24"/>
        </w:rPr>
      </w:pPr>
      <w:r w:rsidRPr="00AE0294">
        <w:rPr>
          <w:szCs w:val="24"/>
        </w:rPr>
        <w:t xml:space="preserve">This category deals with the issues which have been decided by the Hon’ble Supreme Court in favour of the Petitioner </w:t>
      </w:r>
      <w:r w:rsidR="008E6F91" w:rsidRPr="00AE0294">
        <w:rPr>
          <w:szCs w:val="24"/>
        </w:rPr>
        <w:t xml:space="preserve">by its Order dated 01.12.2021 </w:t>
      </w:r>
      <w:r w:rsidRPr="00AE0294">
        <w:rPr>
          <w:szCs w:val="24"/>
        </w:rPr>
        <w:t xml:space="preserve">and needs to be implemented by the Hon’ble Commission in letter and spirit. </w:t>
      </w:r>
    </w:p>
    <w:p w:rsidR="009141CD" w:rsidRPr="00AE0294" w:rsidRDefault="008E6F91" w:rsidP="008E6F91">
      <w:pPr>
        <w:pStyle w:val="ARRB11"/>
        <w:numPr>
          <w:ilvl w:val="1"/>
          <w:numId w:val="2"/>
        </w:numPr>
        <w:ind w:left="990" w:hanging="990"/>
        <w:rPr>
          <w:szCs w:val="24"/>
        </w:rPr>
      </w:pPr>
      <w:r w:rsidRPr="00AE0294">
        <w:rPr>
          <w:szCs w:val="24"/>
        </w:rPr>
        <w:t xml:space="preserve">Hon’ble Supreme Court by its Order dated </w:t>
      </w:r>
      <w:r w:rsidR="009141CD" w:rsidRPr="00AE0294">
        <w:rPr>
          <w:szCs w:val="24"/>
        </w:rPr>
        <w:t xml:space="preserve">01.12.2021 </w:t>
      </w:r>
      <w:r w:rsidRPr="00AE0294">
        <w:rPr>
          <w:szCs w:val="24"/>
        </w:rPr>
        <w:t xml:space="preserve">disposed of </w:t>
      </w:r>
      <w:r w:rsidR="00162087" w:rsidRPr="00AE0294">
        <w:rPr>
          <w:szCs w:val="24"/>
        </w:rPr>
        <w:t xml:space="preserve">the </w:t>
      </w:r>
      <w:r w:rsidR="002E6065" w:rsidRPr="00AE0294">
        <w:rPr>
          <w:szCs w:val="24"/>
        </w:rPr>
        <w:t xml:space="preserve">Civil Appeals </w:t>
      </w:r>
      <w:r w:rsidR="00162087" w:rsidRPr="00AE0294">
        <w:rPr>
          <w:szCs w:val="24"/>
        </w:rPr>
        <w:t xml:space="preserve">No. 980 of 2010, 9004 of 2011 and 1855 of 2013 </w:t>
      </w:r>
      <w:r w:rsidRPr="00AE0294">
        <w:rPr>
          <w:szCs w:val="24"/>
        </w:rPr>
        <w:t>filed by t</w:t>
      </w:r>
      <w:r w:rsidR="009141CD" w:rsidRPr="00AE0294">
        <w:rPr>
          <w:szCs w:val="24"/>
          <w:lang w:val="en-US"/>
        </w:rPr>
        <w:t xml:space="preserve">he Hon’ble </w:t>
      </w:r>
      <w:r w:rsidRPr="00AE0294">
        <w:rPr>
          <w:szCs w:val="24"/>
          <w:lang w:val="en-US"/>
        </w:rPr>
        <w:t>Commission</w:t>
      </w:r>
      <w:r w:rsidR="00162087" w:rsidRPr="00AE0294">
        <w:rPr>
          <w:szCs w:val="24"/>
          <w:lang w:val="en-US"/>
        </w:rPr>
        <w:t>,</w:t>
      </w:r>
      <w:r w:rsidR="005F4D5E" w:rsidRPr="00AE0294">
        <w:rPr>
          <w:szCs w:val="24"/>
          <w:lang w:val="en-US"/>
        </w:rPr>
        <w:t xml:space="preserve"> </w:t>
      </w:r>
      <w:r w:rsidRPr="00AE0294">
        <w:rPr>
          <w:szCs w:val="24"/>
          <w:lang w:val="en-US"/>
        </w:rPr>
        <w:t>directing it to implement the directions in the</w:t>
      </w:r>
      <w:r w:rsidR="005F4D5E" w:rsidRPr="00AE0294">
        <w:rPr>
          <w:szCs w:val="24"/>
          <w:lang w:val="en-US"/>
        </w:rPr>
        <w:t xml:space="preserve"> Judgments dated 06.10.2009/</w:t>
      </w:r>
      <w:r w:rsidR="009141CD" w:rsidRPr="00AE0294">
        <w:rPr>
          <w:szCs w:val="24"/>
          <w:lang w:val="en-US"/>
        </w:rPr>
        <w:t xml:space="preserve"> 30.10.2009</w:t>
      </w:r>
      <w:r w:rsidRPr="00AE0294">
        <w:rPr>
          <w:szCs w:val="24"/>
          <w:lang w:val="en-US"/>
        </w:rPr>
        <w:t>,</w:t>
      </w:r>
      <w:r w:rsidR="009141CD" w:rsidRPr="00AE0294">
        <w:rPr>
          <w:szCs w:val="24"/>
          <w:lang w:val="en-US"/>
        </w:rPr>
        <w:t xml:space="preserve"> 12.07.2011 </w:t>
      </w:r>
      <w:r w:rsidRPr="00AE0294">
        <w:rPr>
          <w:szCs w:val="24"/>
          <w:lang w:val="en-US"/>
        </w:rPr>
        <w:t>and 2</w:t>
      </w:r>
      <w:r w:rsidR="007C7466" w:rsidRPr="00AE0294">
        <w:rPr>
          <w:szCs w:val="24"/>
          <w:lang w:val="en-US"/>
        </w:rPr>
        <w:t>8</w:t>
      </w:r>
      <w:r w:rsidRPr="00AE0294">
        <w:rPr>
          <w:szCs w:val="24"/>
          <w:lang w:val="en-US"/>
        </w:rPr>
        <w:t xml:space="preserve">.11.2013 </w:t>
      </w:r>
      <w:r w:rsidR="009141CD" w:rsidRPr="00AE0294">
        <w:rPr>
          <w:szCs w:val="24"/>
          <w:lang w:val="en-US"/>
        </w:rPr>
        <w:t xml:space="preserve">passed by the Hon’ble Tribunal. </w:t>
      </w:r>
    </w:p>
    <w:p w:rsidR="007C7466" w:rsidRPr="00AE0294" w:rsidRDefault="007C7466" w:rsidP="007C7466">
      <w:pPr>
        <w:pStyle w:val="ARRB11"/>
        <w:numPr>
          <w:ilvl w:val="0"/>
          <w:numId w:val="0"/>
        </w:numPr>
        <w:ind w:left="990"/>
        <w:rPr>
          <w:b/>
          <w:szCs w:val="24"/>
          <w:u w:val="single"/>
        </w:rPr>
      </w:pPr>
      <w:r w:rsidRPr="00AE0294">
        <w:rPr>
          <w:b/>
          <w:szCs w:val="24"/>
          <w:u w:val="single"/>
        </w:rPr>
        <w:t>Issues decided in Civil Appeal No. 980 of 2010 and 9003 of 2011:</w:t>
      </w:r>
    </w:p>
    <w:p w:rsidR="002E6065" w:rsidRPr="00AE0294" w:rsidRDefault="002E6065" w:rsidP="002E6065">
      <w:pPr>
        <w:pStyle w:val="ARRB11"/>
        <w:numPr>
          <w:ilvl w:val="1"/>
          <w:numId w:val="2"/>
        </w:numPr>
        <w:ind w:left="990" w:hanging="990"/>
        <w:rPr>
          <w:szCs w:val="24"/>
        </w:rPr>
      </w:pPr>
      <w:r w:rsidRPr="00AE0294">
        <w:rPr>
          <w:szCs w:val="24"/>
        </w:rPr>
        <w:t xml:space="preserve">While disposing the Civil Appeals filed by </w:t>
      </w:r>
      <w:r w:rsidR="00616E91" w:rsidRPr="00AE0294">
        <w:rPr>
          <w:szCs w:val="24"/>
        </w:rPr>
        <w:t>the Hon’ble Commission</w:t>
      </w:r>
      <w:r w:rsidRPr="00AE0294">
        <w:rPr>
          <w:szCs w:val="24"/>
        </w:rPr>
        <w:t>, Hon’ble SC held that there are no substantial Questions of law involved in the Appeals and directed DERC to implement the APTEL judgments within 3 months and submit the Compliance Report</w:t>
      </w:r>
      <w:r w:rsidR="00FD4BC0" w:rsidRPr="00AE0294">
        <w:rPr>
          <w:szCs w:val="24"/>
        </w:rPr>
        <w:t>.</w:t>
      </w:r>
    </w:p>
    <w:p w:rsidR="00954FE2" w:rsidRPr="00AE0294" w:rsidRDefault="00954FE2" w:rsidP="009141CD">
      <w:pPr>
        <w:pStyle w:val="ARRB11"/>
        <w:numPr>
          <w:ilvl w:val="1"/>
          <w:numId w:val="2"/>
        </w:numPr>
        <w:ind w:left="990" w:hanging="990"/>
        <w:rPr>
          <w:szCs w:val="24"/>
        </w:rPr>
      </w:pPr>
      <w:r w:rsidRPr="00AE0294">
        <w:rPr>
          <w:szCs w:val="24"/>
        </w:rPr>
        <w:t xml:space="preserve">The issues along with the financial impact which have attained finality </w:t>
      </w:r>
      <w:r w:rsidR="009F75BC" w:rsidRPr="00AE0294">
        <w:rPr>
          <w:szCs w:val="24"/>
        </w:rPr>
        <w:t>and ought to be allowed</w:t>
      </w:r>
      <w:r w:rsidR="009960FE" w:rsidRPr="00AE0294">
        <w:rPr>
          <w:szCs w:val="24"/>
        </w:rPr>
        <w:t xml:space="preserve">  by the Hon’ble Commission in t</w:t>
      </w:r>
      <w:r w:rsidR="009F75BC" w:rsidRPr="00AE0294">
        <w:rPr>
          <w:szCs w:val="24"/>
        </w:rPr>
        <w:t xml:space="preserve">erms of the </w:t>
      </w:r>
      <w:r w:rsidRPr="00AE0294">
        <w:rPr>
          <w:szCs w:val="24"/>
        </w:rPr>
        <w:t>Supr</w:t>
      </w:r>
      <w:r w:rsidR="007C7466" w:rsidRPr="00AE0294">
        <w:rPr>
          <w:szCs w:val="24"/>
        </w:rPr>
        <w:t>eme</w:t>
      </w:r>
      <w:r w:rsidRPr="00AE0294">
        <w:rPr>
          <w:szCs w:val="24"/>
        </w:rPr>
        <w:t xml:space="preserve"> Court Order dated 01.12.2021 is tabulated below: </w:t>
      </w:r>
    </w:p>
    <w:p w:rsidR="00F8479F" w:rsidRPr="00AE0294" w:rsidRDefault="00F8479F" w:rsidP="00F8479F">
      <w:pPr>
        <w:pStyle w:val="Caption"/>
        <w:jc w:val="center"/>
        <w:rPr>
          <w:rFonts w:cstheme="minorHAnsi"/>
          <w:b/>
          <w:i w:val="0"/>
          <w:color w:val="000000" w:themeColor="text1"/>
          <w:sz w:val="24"/>
          <w:szCs w:val="24"/>
        </w:rPr>
      </w:pPr>
      <w:bookmarkStart w:id="2" w:name="_Toc120734109"/>
      <w:r w:rsidRPr="00AE0294">
        <w:rPr>
          <w:rFonts w:cstheme="minorHAnsi"/>
          <w:b/>
          <w:i w:val="0"/>
          <w:color w:val="000000" w:themeColor="text1"/>
          <w:sz w:val="24"/>
          <w:szCs w:val="24"/>
        </w:rPr>
        <w:t xml:space="preserve">Table 3B </w:t>
      </w:r>
      <w:r w:rsidR="00BC0EFD" w:rsidRPr="00AE0294">
        <w:rPr>
          <w:rFonts w:cstheme="minorHAnsi"/>
          <w:b/>
          <w:i w:val="0"/>
          <w:color w:val="000000" w:themeColor="text1"/>
          <w:sz w:val="24"/>
          <w:szCs w:val="24"/>
        </w:rPr>
        <w:fldChar w:fldCharType="begin"/>
      </w:r>
      <w:r w:rsidRPr="00AE0294">
        <w:rPr>
          <w:rFonts w:cstheme="minorHAnsi"/>
          <w:b/>
          <w:i w:val="0"/>
          <w:color w:val="000000" w:themeColor="text1"/>
          <w:sz w:val="24"/>
          <w:szCs w:val="24"/>
        </w:rPr>
        <w:instrText xml:space="preserve"> SEQ Table_3B \* ARABIC </w:instrText>
      </w:r>
      <w:r w:rsidR="00BC0EFD" w:rsidRPr="00AE0294">
        <w:rPr>
          <w:rFonts w:cstheme="minorHAnsi"/>
          <w:b/>
          <w:i w:val="0"/>
          <w:color w:val="000000" w:themeColor="text1"/>
          <w:sz w:val="24"/>
          <w:szCs w:val="24"/>
        </w:rPr>
        <w:fldChar w:fldCharType="separate"/>
      </w:r>
      <w:r w:rsidR="006D2E03">
        <w:rPr>
          <w:rFonts w:cstheme="minorHAnsi"/>
          <w:b/>
          <w:i w:val="0"/>
          <w:noProof/>
          <w:color w:val="000000" w:themeColor="text1"/>
          <w:sz w:val="24"/>
          <w:szCs w:val="24"/>
        </w:rPr>
        <w:t>1</w:t>
      </w:r>
      <w:r w:rsidR="00BC0EFD" w:rsidRPr="00AE0294">
        <w:rPr>
          <w:rFonts w:cstheme="minorHAnsi"/>
          <w:b/>
          <w:i w:val="0"/>
          <w:color w:val="000000" w:themeColor="text1"/>
          <w:sz w:val="24"/>
          <w:szCs w:val="24"/>
        </w:rPr>
        <w:fldChar w:fldCharType="end"/>
      </w:r>
      <w:r w:rsidRPr="00AE0294">
        <w:rPr>
          <w:rFonts w:cstheme="minorHAnsi"/>
          <w:b/>
          <w:i w:val="0"/>
          <w:color w:val="000000" w:themeColor="text1"/>
          <w:sz w:val="24"/>
          <w:szCs w:val="24"/>
        </w:rPr>
        <w:t xml:space="preserve">: </w:t>
      </w:r>
      <w:r w:rsidR="002D7AB3" w:rsidRPr="00AE0294">
        <w:rPr>
          <w:rFonts w:cstheme="minorHAnsi"/>
          <w:b/>
          <w:i w:val="0"/>
          <w:color w:val="000000" w:themeColor="text1"/>
          <w:sz w:val="24"/>
          <w:szCs w:val="24"/>
        </w:rPr>
        <w:t>I</w:t>
      </w:r>
      <w:r w:rsidRPr="00AE0294">
        <w:rPr>
          <w:rFonts w:cstheme="minorHAnsi"/>
          <w:b/>
          <w:i w:val="0"/>
          <w:color w:val="000000" w:themeColor="text1"/>
          <w:sz w:val="24"/>
          <w:szCs w:val="24"/>
        </w:rPr>
        <w:t>ssues which have attained finality vide Hon’ble Supreme Court Order dated 01.12.2021</w:t>
      </w:r>
      <w:bookmarkEnd w:id="2"/>
    </w:p>
    <w:tbl>
      <w:tblPr>
        <w:tblW w:w="9423" w:type="dxa"/>
        <w:tblInd w:w="-5" w:type="dxa"/>
        <w:tblLook w:val="04A0" w:firstRow="1" w:lastRow="0" w:firstColumn="1" w:lastColumn="0" w:noHBand="0" w:noVBand="1"/>
      </w:tblPr>
      <w:tblGrid>
        <w:gridCol w:w="580"/>
        <w:gridCol w:w="5760"/>
        <w:gridCol w:w="1083"/>
        <w:gridCol w:w="1048"/>
        <w:gridCol w:w="1000"/>
      </w:tblGrid>
      <w:tr w:rsidR="009867C9" w:rsidRPr="00AE0294" w:rsidTr="009867C9">
        <w:trPr>
          <w:trHeight w:val="2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67C9" w:rsidRPr="00AE0294" w:rsidRDefault="009867C9" w:rsidP="009867C9">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S. No</w:t>
            </w:r>
          </w:p>
        </w:tc>
        <w:tc>
          <w:tcPr>
            <w:tcW w:w="5760" w:type="dxa"/>
            <w:tcBorders>
              <w:top w:val="single" w:sz="4" w:space="0" w:color="auto"/>
              <w:left w:val="nil"/>
              <w:bottom w:val="single" w:sz="4" w:space="0" w:color="auto"/>
              <w:right w:val="single" w:sz="4" w:space="0" w:color="auto"/>
            </w:tcBorders>
            <w:shd w:val="clear" w:color="auto" w:fill="auto"/>
            <w:vAlign w:val="center"/>
            <w:hideMark/>
          </w:tcPr>
          <w:p w:rsidR="009867C9" w:rsidRPr="00AE0294" w:rsidRDefault="009867C9" w:rsidP="009867C9">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Particulars</w:t>
            </w:r>
          </w:p>
        </w:tc>
        <w:tc>
          <w:tcPr>
            <w:tcW w:w="1083" w:type="dxa"/>
            <w:tcBorders>
              <w:top w:val="single" w:sz="4" w:space="0" w:color="auto"/>
              <w:left w:val="nil"/>
              <w:bottom w:val="single" w:sz="4" w:space="0" w:color="auto"/>
              <w:right w:val="single" w:sz="4" w:space="0" w:color="auto"/>
            </w:tcBorders>
            <w:shd w:val="clear" w:color="auto" w:fill="auto"/>
            <w:noWrap/>
            <w:vAlign w:val="center"/>
            <w:hideMark/>
          </w:tcPr>
          <w:p w:rsidR="009867C9" w:rsidRPr="00AE0294" w:rsidRDefault="009867C9" w:rsidP="009867C9">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Principal</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9867C9" w:rsidRPr="00AE0294" w:rsidRDefault="00585826" w:rsidP="00585826">
            <w:pPr>
              <w:spacing w:after="0" w:line="240" w:lineRule="auto"/>
              <w:jc w:val="center"/>
              <w:rPr>
                <w:rFonts w:eastAsia="Times New Roman" w:cstheme="minorHAnsi"/>
                <w:b/>
                <w:bCs/>
                <w:color w:val="000000"/>
                <w:sz w:val="24"/>
                <w:szCs w:val="24"/>
                <w:lang w:eastAsia="en-IN"/>
              </w:rPr>
            </w:pPr>
            <w:r>
              <w:rPr>
                <w:rFonts w:eastAsia="Times New Roman" w:cstheme="minorHAnsi"/>
                <w:b/>
                <w:bCs/>
                <w:color w:val="000000"/>
                <w:sz w:val="24"/>
                <w:szCs w:val="24"/>
                <w:lang w:eastAsia="en-IN"/>
              </w:rPr>
              <w:t>Carrying Cost</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9867C9" w:rsidRPr="00AE0294" w:rsidRDefault="009867C9" w:rsidP="009867C9">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Total</w:t>
            </w:r>
          </w:p>
        </w:tc>
      </w:tr>
      <w:tr w:rsidR="009867C9" w:rsidRPr="00AE0294" w:rsidTr="009867C9">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9867C9" w:rsidRPr="00AE0294" w:rsidRDefault="00954FE2" w:rsidP="009867C9">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A</w:t>
            </w:r>
            <w:r w:rsidR="009867C9" w:rsidRPr="00AE0294">
              <w:rPr>
                <w:rFonts w:eastAsia="Times New Roman" w:cstheme="minorHAnsi"/>
                <w:b/>
                <w:bCs/>
                <w:color w:val="000000"/>
                <w:sz w:val="24"/>
                <w:szCs w:val="24"/>
                <w:lang w:eastAsia="en-IN"/>
              </w:rPr>
              <w:t> </w:t>
            </w:r>
          </w:p>
        </w:tc>
        <w:tc>
          <w:tcPr>
            <w:tcW w:w="5760" w:type="dxa"/>
            <w:tcBorders>
              <w:top w:val="nil"/>
              <w:left w:val="nil"/>
              <w:bottom w:val="nil"/>
              <w:right w:val="nil"/>
            </w:tcBorders>
            <w:shd w:val="clear" w:color="auto" w:fill="auto"/>
            <w:noWrap/>
            <w:vAlign w:val="bottom"/>
            <w:hideMark/>
          </w:tcPr>
          <w:p w:rsidR="009867C9" w:rsidRPr="00AE0294" w:rsidRDefault="009867C9" w:rsidP="007C7466">
            <w:pPr>
              <w:spacing w:after="0" w:line="240" w:lineRule="auto"/>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Impact of Issues in Civil Appeal No. 980 of 2010</w:t>
            </w:r>
          </w:p>
        </w:tc>
        <w:tc>
          <w:tcPr>
            <w:tcW w:w="1083" w:type="dxa"/>
            <w:tcBorders>
              <w:top w:val="nil"/>
              <w:left w:val="single" w:sz="4" w:space="0" w:color="auto"/>
              <w:bottom w:val="single" w:sz="4" w:space="0" w:color="auto"/>
              <w:right w:val="single" w:sz="4" w:space="0" w:color="auto"/>
            </w:tcBorders>
            <w:shd w:val="clear" w:color="auto" w:fill="auto"/>
            <w:noWrap/>
            <w:vAlign w:val="center"/>
            <w:hideMark/>
          </w:tcPr>
          <w:p w:rsidR="009867C9" w:rsidRPr="00AE0294" w:rsidRDefault="009867C9" w:rsidP="009867C9">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 </w:t>
            </w:r>
          </w:p>
        </w:tc>
        <w:tc>
          <w:tcPr>
            <w:tcW w:w="1000" w:type="dxa"/>
            <w:tcBorders>
              <w:top w:val="nil"/>
              <w:left w:val="nil"/>
              <w:bottom w:val="single" w:sz="4" w:space="0" w:color="auto"/>
              <w:right w:val="single" w:sz="4" w:space="0" w:color="auto"/>
            </w:tcBorders>
            <w:shd w:val="clear" w:color="auto" w:fill="auto"/>
            <w:noWrap/>
            <w:vAlign w:val="center"/>
            <w:hideMark/>
          </w:tcPr>
          <w:p w:rsidR="009867C9" w:rsidRPr="00AE0294" w:rsidRDefault="009867C9" w:rsidP="009867C9">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 </w:t>
            </w:r>
          </w:p>
        </w:tc>
        <w:tc>
          <w:tcPr>
            <w:tcW w:w="1000" w:type="dxa"/>
            <w:tcBorders>
              <w:top w:val="nil"/>
              <w:left w:val="nil"/>
              <w:bottom w:val="single" w:sz="4" w:space="0" w:color="auto"/>
              <w:right w:val="single" w:sz="4" w:space="0" w:color="auto"/>
            </w:tcBorders>
            <w:shd w:val="clear" w:color="auto" w:fill="auto"/>
            <w:noWrap/>
            <w:vAlign w:val="center"/>
            <w:hideMark/>
          </w:tcPr>
          <w:p w:rsidR="009867C9" w:rsidRPr="00AE0294" w:rsidRDefault="009867C9" w:rsidP="009867C9">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 </w:t>
            </w:r>
          </w:p>
        </w:tc>
      </w:tr>
      <w:tr w:rsidR="009867C9" w:rsidRPr="00AE0294" w:rsidTr="009867C9">
        <w:trPr>
          <w:trHeight w:val="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867C9" w:rsidRPr="00AE0294" w:rsidRDefault="009867C9" w:rsidP="009867C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w:t>
            </w:r>
          </w:p>
        </w:tc>
        <w:tc>
          <w:tcPr>
            <w:tcW w:w="5760" w:type="dxa"/>
            <w:tcBorders>
              <w:top w:val="single" w:sz="4" w:space="0" w:color="auto"/>
              <w:left w:val="nil"/>
              <w:bottom w:val="single" w:sz="4" w:space="0" w:color="auto"/>
              <w:right w:val="single" w:sz="4" w:space="0" w:color="auto"/>
            </w:tcBorders>
            <w:shd w:val="clear" w:color="auto" w:fill="auto"/>
            <w:vAlign w:val="center"/>
            <w:hideMark/>
          </w:tcPr>
          <w:p w:rsidR="009867C9" w:rsidRPr="00AE0294" w:rsidRDefault="009867C9" w:rsidP="009867C9">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Capital Expenditure allowance of purchase from Related Party after benchmarking with NDPL</w:t>
            </w:r>
          </w:p>
        </w:tc>
        <w:tc>
          <w:tcPr>
            <w:tcW w:w="10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867C9" w:rsidRPr="00AE0294" w:rsidRDefault="009867C9" w:rsidP="009867C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866</w:t>
            </w:r>
          </w:p>
        </w:tc>
        <w:tc>
          <w:tcPr>
            <w:tcW w:w="10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867C9" w:rsidRPr="00AE0294" w:rsidRDefault="009867C9" w:rsidP="009867C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3687</w:t>
            </w:r>
          </w:p>
        </w:tc>
        <w:tc>
          <w:tcPr>
            <w:tcW w:w="10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867C9" w:rsidRPr="00AE0294" w:rsidRDefault="009867C9" w:rsidP="009867C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4553</w:t>
            </w:r>
          </w:p>
        </w:tc>
      </w:tr>
      <w:tr w:rsidR="009867C9" w:rsidRPr="00AE0294" w:rsidTr="009867C9">
        <w:trPr>
          <w:trHeight w:val="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867C9" w:rsidRPr="00AE0294" w:rsidRDefault="009867C9" w:rsidP="009867C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2</w:t>
            </w:r>
          </w:p>
        </w:tc>
        <w:tc>
          <w:tcPr>
            <w:tcW w:w="5760" w:type="dxa"/>
            <w:tcBorders>
              <w:top w:val="nil"/>
              <w:left w:val="nil"/>
              <w:bottom w:val="single" w:sz="4" w:space="0" w:color="auto"/>
              <w:right w:val="single" w:sz="4" w:space="0" w:color="auto"/>
            </w:tcBorders>
            <w:shd w:val="clear" w:color="auto" w:fill="auto"/>
            <w:vAlign w:val="bottom"/>
            <w:hideMark/>
          </w:tcPr>
          <w:p w:rsidR="009867C9" w:rsidRPr="00AE0294" w:rsidRDefault="009867C9" w:rsidP="009867C9">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Allowance of capitalisation pending Electrical Inspector Clearance</w:t>
            </w:r>
          </w:p>
        </w:tc>
        <w:tc>
          <w:tcPr>
            <w:tcW w:w="1083" w:type="dxa"/>
            <w:vMerge/>
            <w:tcBorders>
              <w:top w:val="nil"/>
              <w:left w:val="single" w:sz="4" w:space="0" w:color="auto"/>
              <w:bottom w:val="single" w:sz="4" w:space="0" w:color="000000"/>
              <w:right w:val="single" w:sz="4" w:space="0" w:color="auto"/>
            </w:tcBorders>
            <w:vAlign w:val="center"/>
            <w:hideMark/>
          </w:tcPr>
          <w:p w:rsidR="009867C9" w:rsidRPr="00AE0294" w:rsidRDefault="009867C9" w:rsidP="009867C9">
            <w:pPr>
              <w:spacing w:after="0" w:line="240" w:lineRule="auto"/>
              <w:rPr>
                <w:rFonts w:eastAsia="Times New Roman" w:cstheme="minorHAnsi"/>
                <w:color w:val="000000"/>
                <w:sz w:val="24"/>
                <w:szCs w:val="24"/>
                <w:lang w:eastAsia="en-IN"/>
              </w:rPr>
            </w:pPr>
          </w:p>
        </w:tc>
        <w:tc>
          <w:tcPr>
            <w:tcW w:w="1000" w:type="dxa"/>
            <w:vMerge/>
            <w:tcBorders>
              <w:top w:val="nil"/>
              <w:left w:val="single" w:sz="4" w:space="0" w:color="auto"/>
              <w:bottom w:val="single" w:sz="4" w:space="0" w:color="000000"/>
              <w:right w:val="single" w:sz="4" w:space="0" w:color="auto"/>
            </w:tcBorders>
            <w:vAlign w:val="center"/>
            <w:hideMark/>
          </w:tcPr>
          <w:p w:rsidR="009867C9" w:rsidRPr="00AE0294" w:rsidRDefault="009867C9" w:rsidP="009867C9">
            <w:pPr>
              <w:spacing w:after="0" w:line="240" w:lineRule="auto"/>
              <w:rPr>
                <w:rFonts w:eastAsia="Times New Roman" w:cstheme="minorHAnsi"/>
                <w:color w:val="000000"/>
                <w:sz w:val="24"/>
                <w:szCs w:val="24"/>
                <w:lang w:eastAsia="en-IN"/>
              </w:rPr>
            </w:pPr>
          </w:p>
        </w:tc>
        <w:tc>
          <w:tcPr>
            <w:tcW w:w="1000" w:type="dxa"/>
            <w:vMerge/>
            <w:tcBorders>
              <w:top w:val="nil"/>
              <w:left w:val="single" w:sz="4" w:space="0" w:color="auto"/>
              <w:bottom w:val="single" w:sz="4" w:space="0" w:color="000000"/>
              <w:right w:val="single" w:sz="4" w:space="0" w:color="auto"/>
            </w:tcBorders>
            <w:vAlign w:val="center"/>
            <w:hideMark/>
          </w:tcPr>
          <w:p w:rsidR="009867C9" w:rsidRPr="00AE0294" w:rsidRDefault="009867C9" w:rsidP="009867C9">
            <w:pPr>
              <w:spacing w:after="0" w:line="240" w:lineRule="auto"/>
              <w:rPr>
                <w:rFonts w:eastAsia="Times New Roman" w:cstheme="minorHAnsi"/>
                <w:color w:val="000000"/>
                <w:sz w:val="24"/>
                <w:szCs w:val="24"/>
                <w:lang w:eastAsia="en-IN"/>
              </w:rPr>
            </w:pPr>
          </w:p>
        </w:tc>
      </w:tr>
      <w:tr w:rsidR="009867C9" w:rsidRPr="00AE0294" w:rsidTr="009867C9">
        <w:trPr>
          <w:trHeight w:val="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867C9" w:rsidRPr="00AE0294" w:rsidRDefault="009867C9" w:rsidP="009867C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3</w:t>
            </w:r>
          </w:p>
        </w:tc>
        <w:tc>
          <w:tcPr>
            <w:tcW w:w="5760" w:type="dxa"/>
            <w:tcBorders>
              <w:top w:val="nil"/>
              <w:left w:val="nil"/>
              <w:bottom w:val="single" w:sz="4" w:space="0" w:color="auto"/>
              <w:right w:val="single" w:sz="4" w:space="0" w:color="auto"/>
            </w:tcBorders>
            <w:shd w:val="clear" w:color="auto" w:fill="auto"/>
            <w:vAlign w:val="center"/>
            <w:hideMark/>
          </w:tcPr>
          <w:p w:rsidR="009867C9" w:rsidRPr="00AE0294" w:rsidRDefault="009867C9" w:rsidP="009867C9">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Direction to review Distribution Loss for 1st MYT Control period</w:t>
            </w:r>
          </w:p>
        </w:tc>
        <w:tc>
          <w:tcPr>
            <w:tcW w:w="1083" w:type="dxa"/>
            <w:tcBorders>
              <w:top w:val="nil"/>
              <w:left w:val="nil"/>
              <w:bottom w:val="single" w:sz="4" w:space="0" w:color="auto"/>
              <w:right w:val="single" w:sz="4" w:space="0" w:color="auto"/>
            </w:tcBorders>
            <w:shd w:val="clear" w:color="auto" w:fill="auto"/>
            <w:noWrap/>
            <w:vAlign w:val="center"/>
            <w:hideMark/>
          </w:tcPr>
          <w:p w:rsidR="009867C9" w:rsidRPr="00AE0294" w:rsidRDefault="009867C9" w:rsidP="009867C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70</w:t>
            </w:r>
          </w:p>
        </w:tc>
        <w:tc>
          <w:tcPr>
            <w:tcW w:w="1000" w:type="dxa"/>
            <w:tcBorders>
              <w:top w:val="nil"/>
              <w:left w:val="nil"/>
              <w:bottom w:val="single" w:sz="4" w:space="0" w:color="auto"/>
              <w:right w:val="single" w:sz="4" w:space="0" w:color="auto"/>
            </w:tcBorders>
            <w:shd w:val="clear" w:color="auto" w:fill="auto"/>
            <w:noWrap/>
            <w:vAlign w:val="center"/>
            <w:hideMark/>
          </w:tcPr>
          <w:p w:rsidR="009867C9" w:rsidRPr="00AE0294" w:rsidRDefault="009867C9" w:rsidP="009867C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363</w:t>
            </w:r>
          </w:p>
        </w:tc>
        <w:tc>
          <w:tcPr>
            <w:tcW w:w="1000" w:type="dxa"/>
            <w:tcBorders>
              <w:top w:val="nil"/>
              <w:left w:val="nil"/>
              <w:bottom w:val="single" w:sz="4" w:space="0" w:color="auto"/>
              <w:right w:val="single" w:sz="4" w:space="0" w:color="auto"/>
            </w:tcBorders>
            <w:shd w:val="clear" w:color="auto" w:fill="auto"/>
            <w:noWrap/>
            <w:vAlign w:val="center"/>
            <w:hideMark/>
          </w:tcPr>
          <w:p w:rsidR="009867C9" w:rsidRPr="00AE0294" w:rsidRDefault="009867C9" w:rsidP="009867C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432</w:t>
            </w:r>
          </w:p>
        </w:tc>
      </w:tr>
      <w:tr w:rsidR="009867C9" w:rsidRPr="00AE0294" w:rsidTr="009867C9">
        <w:trPr>
          <w:trHeight w:val="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867C9" w:rsidRPr="00AE0294" w:rsidRDefault="009867C9" w:rsidP="009867C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 </w:t>
            </w:r>
          </w:p>
        </w:tc>
        <w:tc>
          <w:tcPr>
            <w:tcW w:w="5760" w:type="dxa"/>
            <w:tcBorders>
              <w:top w:val="nil"/>
              <w:left w:val="nil"/>
              <w:bottom w:val="single" w:sz="4" w:space="0" w:color="auto"/>
              <w:right w:val="single" w:sz="4" w:space="0" w:color="auto"/>
            </w:tcBorders>
            <w:shd w:val="clear" w:color="auto" w:fill="auto"/>
            <w:vAlign w:val="bottom"/>
            <w:hideMark/>
          </w:tcPr>
          <w:p w:rsidR="009867C9" w:rsidRPr="00AE0294" w:rsidRDefault="009867C9" w:rsidP="009867C9">
            <w:pPr>
              <w:spacing w:after="0" w:line="240" w:lineRule="auto"/>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Total</w:t>
            </w:r>
            <w:r w:rsidR="001A3726" w:rsidRPr="00AE0294">
              <w:rPr>
                <w:rFonts w:eastAsia="Times New Roman" w:cstheme="minorHAnsi"/>
                <w:b/>
                <w:bCs/>
                <w:color w:val="000000"/>
                <w:sz w:val="24"/>
                <w:szCs w:val="24"/>
                <w:lang w:eastAsia="en-IN"/>
              </w:rPr>
              <w:t xml:space="preserve"> (A)</w:t>
            </w:r>
          </w:p>
        </w:tc>
        <w:tc>
          <w:tcPr>
            <w:tcW w:w="1083" w:type="dxa"/>
            <w:tcBorders>
              <w:top w:val="nil"/>
              <w:left w:val="nil"/>
              <w:bottom w:val="single" w:sz="4" w:space="0" w:color="auto"/>
              <w:right w:val="single" w:sz="4" w:space="0" w:color="auto"/>
            </w:tcBorders>
            <w:shd w:val="clear" w:color="auto" w:fill="auto"/>
            <w:noWrap/>
            <w:vAlign w:val="center"/>
            <w:hideMark/>
          </w:tcPr>
          <w:p w:rsidR="009867C9" w:rsidRPr="00AE0294" w:rsidRDefault="009867C9" w:rsidP="009867C9">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936</w:t>
            </w:r>
          </w:p>
        </w:tc>
        <w:tc>
          <w:tcPr>
            <w:tcW w:w="1000" w:type="dxa"/>
            <w:tcBorders>
              <w:top w:val="nil"/>
              <w:left w:val="nil"/>
              <w:bottom w:val="single" w:sz="4" w:space="0" w:color="auto"/>
              <w:right w:val="single" w:sz="4" w:space="0" w:color="auto"/>
            </w:tcBorders>
            <w:shd w:val="clear" w:color="auto" w:fill="auto"/>
            <w:noWrap/>
            <w:vAlign w:val="center"/>
            <w:hideMark/>
          </w:tcPr>
          <w:p w:rsidR="009867C9" w:rsidRPr="00AE0294" w:rsidRDefault="009867C9" w:rsidP="009867C9">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4049</w:t>
            </w:r>
          </w:p>
        </w:tc>
        <w:tc>
          <w:tcPr>
            <w:tcW w:w="1000" w:type="dxa"/>
            <w:tcBorders>
              <w:top w:val="nil"/>
              <w:left w:val="nil"/>
              <w:bottom w:val="single" w:sz="4" w:space="0" w:color="auto"/>
              <w:right w:val="single" w:sz="4" w:space="0" w:color="auto"/>
            </w:tcBorders>
            <w:shd w:val="clear" w:color="auto" w:fill="auto"/>
            <w:noWrap/>
            <w:vAlign w:val="center"/>
            <w:hideMark/>
          </w:tcPr>
          <w:p w:rsidR="009867C9" w:rsidRPr="00AE0294" w:rsidRDefault="009867C9" w:rsidP="009867C9">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4985</w:t>
            </w:r>
          </w:p>
        </w:tc>
      </w:tr>
      <w:tr w:rsidR="009867C9" w:rsidRPr="00AE0294" w:rsidTr="009867C9">
        <w:trPr>
          <w:trHeight w:val="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867C9" w:rsidRPr="00AE0294" w:rsidRDefault="009867C9" w:rsidP="009867C9">
            <w:pPr>
              <w:spacing w:after="0" w:line="240" w:lineRule="auto"/>
              <w:jc w:val="center"/>
              <w:rPr>
                <w:rFonts w:eastAsia="Times New Roman" w:cstheme="minorHAnsi"/>
                <w:b/>
                <w:color w:val="000000"/>
                <w:sz w:val="24"/>
                <w:szCs w:val="24"/>
                <w:lang w:eastAsia="en-IN"/>
              </w:rPr>
            </w:pPr>
            <w:r w:rsidRPr="00AE0294">
              <w:rPr>
                <w:rFonts w:eastAsia="Times New Roman" w:cstheme="minorHAnsi"/>
                <w:color w:val="000000"/>
                <w:sz w:val="24"/>
                <w:szCs w:val="24"/>
                <w:lang w:eastAsia="en-IN"/>
              </w:rPr>
              <w:t> </w:t>
            </w:r>
            <w:r w:rsidR="00954FE2" w:rsidRPr="00AE0294">
              <w:rPr>
                <w:rFonts w:eastAsia="Times New Roman" w:cstheme="minorHAnsi"/>
                <w:b/>
                <w:color w:val="000000"/>
                <w:sz w:val="24"/>
                <w:szCs w:val="24"/>
                <w:lang w:eastAsia="en-IN"/>
              </w:rPr>
              <w:t>B</w:t>
            </w:r>
          </w:p>
        </w:tc>
        <w:tc>
          <w:tcPr>
            <w:tcW w:w="5760" w:type="dxa"/>
            <w:tcBorders>
              <w:top w:val="nil"/>
              <w:left w:val="nil"/>
              <w:bottom w:val="nil"/>
              <w:right w:val="nil"/>
            </w:tcBorders>
            <w:shd w:val="clear" w:color="auto" w:fill="auto"/>
            <w:noWrap/>
            <w:vAlign w:val="bottom"/>
            <w:hideMark/>
          </w:tcPr>
          <w:p w:rsidR="009867C9" w:rsidRPr="00AE0294" w:rsidRDefault="009867C9" w:rsidP="007C7466">
            <w:pPr>
              <w:spacing w:after="0" w:line="240" w:lineRule="auto"/>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Impact of Issues in Civil Appeal No. 9004 of 2011</w:t>
            </w:r>
          </w:p>
        </w:tc>
        <w:tc>
          <w:tcPr>
            <w:tcW w:w="1083" w:type="dxa"/>
            <w:tcBorders>
              <w:top w:val="nil"/>
              <w:left w:val="single" w:sz="4" w:space="0" w:color="auto"/>
              <w:bottom w:val="single" w:sz="4" w:space="0" w:color="auto"/>
              <w:right w:val="single" w:sz="4" w:space="0" w:color="auto"/>
            </w:tcBorders>
            <w:shd w:val="clear" w:color="auto" w:fill="auto"/>
            <w:noWrap/>
            <w:vAlign w:val="center"/>
            <w:hideMark/>
          </w:tcPr>
          <w:p w:rsidR="009867C9" w:rsidRPr="00AE0294" w:rsidRDefault="009867C9" w:rsidP="009867C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 </w:t>
            </w:r>
          </w:p>
        </w:tc>
        <w:tc>
          <w:tcPr>
            <w:tcW w:w="1000" w:type="dxa"/>
            <w:tcBorders>
              <w:top w:val="nil"/>
              <w:left w:val="nil"/>
              <w:bottom w:val="single" w:sz="4" w:space="0" w:color="auto"/>
              <w:right w:val="single" w:sz="4" w:space="0" w:color="auto"/>
            </w:tcBorders>
            <w:shd w:val="clear" w:color="auto" w:fill="auto"/>
            <w:noWrap/>
            <w:vAlign w:val="center"/>
            <w:hideMark/>
          </w:tcPr>
          <w:p w:rsidR="009867C9" w:rsidRPr="00AE0294" w:rsidRDefault="009867C9" w:rsidP="009867C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 </w:t>
            </w:r>
          </w:p>
        </w:tc>
        <w:tc>
          <w:tcPr>
            <w:tcW w:w="1000" w:type="dxa"/>
            <w:tcBorders>
              <w:top w:val="nil"/>
              <w:left w:val="nil"/>
              <w:bottom w:val="single" w:sz="4" w:space="0" w:color="auto"/>
              <w:right w:val="single" w:sz="4" w:space="0" w:color="auto"/>
            </w:tcBorders>
            <w:shd w:val="clear" w:color="auto" w:fill="auto"/>
            <w:noWrap/>
            <w:vAlign w:val="center"/>
            <w:hideMark/>
          </w:tcPr>
          <w:p w:rsidR="009867C9" w:rsidRPr="00AE0294" w:rsidRDefault="009867C9" w:rsidP="009867C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 </w:t>
            </w:r>
          </w:p>
        </w:tc>
      </w:tr>
      <w:tr w:rsidR="009867C9" w:rsidRPr="00AE0294" w:rsidTr="009867C9">
        <w:trPr>
          <w:trHeight w:val="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867C9" w:rsidRPr="00AE0294" w:rsidRDefault="009867C9" w:rsidP="009867C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1a</w:t>
            </w:r>
          </w:p>
        </w:tc>
        <w:tc>
          <w:tcPr>
            <w:tcW w:w="5760" w:type="dxa"/>
            <w:tcBorders>
              <w:top w:val="single" w:sz="4" w:space="0" w:color="auto"/>
              <w:left w:val="nil"/>
              <w:bottom w:val="single" w:sz="4" w:space="0" w:color="auto"/>
              <w:right w:val="single" w:sz="4" w:space="0" w:color="auto"/>
            </w:tcBorders>
            <w:shd w:val="clear" w:color="auto" w:fill="auto"/>
            <w:vAlign w:val="center"/>
            <w:hideMark/>
          </w:tcPr>
          <w:p w:rsidR="009867C9" w:rsidRPr="00AE0294" w:rsidRDefault="009867C9" w:rsidP="009867C9">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Funding of Revenue Gap in the debt equity ratio of 70:30</w:t>
            </w:r>
          </w:p>
        </w:tc>
        <w:tc>
          <w:tcPr>
            <w:tcW w:w="1083" w:type="dxa"/>
            <w:tcBorders>
              <w:top w:val="nil"/>
              <w:left w:val="nil"/>
              <w:bottom w:val="single" w:sz="4" w:space="0" w:color="auto"/>
              <w:right w:val="single" w:sz="4" w:space="0" w:color="auto"/>
            </w:tcBorders>
            <w:shd w:val="clear" w:color="auto" w:fill="auto"/>
            <w:noWrap/>
            <w:vAlign w:val="center"/>
            <w:hideMark/>
          </w:tcPr>
          <w:p w:rsidR="009867C9" w:rsidRPr="00AE0294" w:rsidRDefault="009867C9" w:rsidP="009867C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1970</w:t>
            </w:r>
          </w:p>
        </w:tc>
        <w:tc>
          <w:tcPr>
            <w:tcW w:w="1000" w:type="dxa"/>
            <w:tcBorders>
              <w:top w:val="nil"/>
              <w:left w:val="nil"/>
              <w:bottom w:val="single" w:sz="4" w:space="0" w:color="auto"/>
              <w:right w:val="single" w:sz="4" w:space="0" w:color="auto"/>
            </w:tcBorders>
            <w:shd w:val="clear" w:color="auto" w:fill="auto"/>
            <w:noWrap/>
            <w:vAlign w:val="center"/>
            <w:hideMark/>
          </w:tcPr>
          <w:p w:rsidR="009867C9" w:rsidRPr="00AE0294" w:rsidRDefault="009867C9" w:rsidP="009867C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519</w:t>
            </w:r>
          </w:p>
        </w:tc>
        <w:tc>
          <w:tcPr>
            <w:tcW w:w="1000" w:type="dxa"/>
            <w:tcBorders>
              <w:top w:val="nil"/>
              <w:left w:val="nil"/>
              <w:bottom w:val="single" w:sz="4" w:space="0" w:color="auto"/>
              <w:right w:val="single" w:sz="4" w:space="0" w:color="auto"/>
            </w:tcBorders>
            <w:shd w:val="clear" w:color="auto" w:fill="auto"/>
            <w:noWrap/>
            <w:vAlign w:val="center"/>
            <w:hideMark/>
          </w:tcPr>
          <w:p w:rsidR="009867C9" w:rsidRPr="00AE0294" w:rsidRDefault="009867C9" w:rsidP="009867C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2489</w:t>
            </w:r>
          </w:p>
        </w:tc>
      </w:tr>
      <w:tr w:rsidR="009867C9" w:rsidRPr="00AE0294" w:rsidTr="009867C9">
        <w:trPr>
          <w:trHeight w:val="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867C9" w:rsidRPr="00AE0294" w:rsidRDefault="009867C9" w:rsidP="009867C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1b</w:t>
            </w:r>
          </w:p>
        </w:tc>
        <w:tc>
          <w:tcPr>
            <w:tcW w:w="5760" w:type="dxa"/>
            <w:tcBorders>
              <w:top w:val="nil"/>
              <w:left w:val="nil"/>
              <w:bottom w:val="single" w:sz="4" w:space="0" w:color="auto"/>
              <w:right w:val="single" w:sz="4" w:space="0" w:color="auto"/>
            </w:tcBorders>
            <w:shd w:val="clear" w:color="auto" w:fill="auto"/>
            <w:vAlign w:val="center"/>
            <w:hideMark/>
          </w:tcPr>
          <w:p w:rsidR="009867C9" w:rsidRPr="00AE0294" w:rsidRDefault="009867C9" w:rsidP="009867C9">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Working Capital funding in the D/E ratio 70:30</w:t>
            </w:r>
          </w:p>
        </w:tc>
        <w:tc>
          <w:tcPr>
            <w:tcW w:w="1083" w:type="dxa"/>
            <w:tcBorders>
              <w:top w:val="nil"/>
              <w:left w:val="nil"/>
              <w:bottom w:val="single" w:sz="4" w:space="0" w:color="auto"/>
              <w:right w:val="single" w:sz="4" w:space="0" w:color="auto"/>
            </w:tcBorders>
            <w:shd w:val="clear" w:color="auto" w:fill="auto"/>
            <w:noWrap/>
            <w:vAlign w:val="center"/>
            <w:hideMark/>
          </w:tcPr>
          <w:p w:rsidR="009867C9" w:rsidRPr="00AE0294" w:rsidRDefault="009867C9" w:rsidP="009867C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238</w:t>
            </w:r>
          </w:p>
        </w:tc>
        <w:tc>
          <w:tcPr>
            <w:tcW w:w="1000" w:type="dxa"/>
            <w:tcBorders>
              <w:top w:val="nil"/>
              <w:left w:val="nil"/>
              <w:bottom w:val="single" w:sz="4" w:space="0" w:color="auto"/>
              <w:right w:val="single" w:sz="4" w:space="0" w:color="auto"/>
            </w:tcBorders>
            <w:shd w:val="clear" w:color="auto" w:fill="auto"/>
            <w:noWrap/>
            <w:vAlign w:val="center"/>
            <w:hideMark/>
          </w:tcPr>
          <w:p w:rsidR="009867C9" w:rsidRPr="00AE0294" w:rsidRDefault="009867C9" w:rsidP="009867C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669</w:t>
            </w:r>
          </w:p>
        </w:tc>
        <w:tc>
          <w:tcPr>
            <w:tcW w:w="1000" w:type="dxa"/>
            <w:tcBorders>
              <w:top w:val="nil"/>
              <w:left w:val="nil"/>
              <w:bottom w:val="single" w:sz="4" w:space="0" w:color="auto"/>
              <w:right w:val="single" w:sz="4" w:space="0" w:color="auto"/>
            </w:tcBorders>
            <w:shd w:val="clear" w:color="auto" w:fill="auto"/>
            <w:noWrap/>
            <w:vAlign w:val="center"/>
            <w:hideMark/>
          </w:tcPr>
          <w:p w:rsidR="009867C9" w:rsidRPr="00AE0294" w:rsidRDefault="009867C9" w:rsidP="009867C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907</w:t>
            </w:r>
          </w:p>
        </w:tc>
      </w:tr>
      <w:tr w:rsidR="009867C9" w:rsidRPr="00AE0294" w:rsidTr="009867C9">
        <w:trPr>
          <w:trHeight w:val="2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67C9" w:rsidRPr="00AE0294" w:rsidRDefault="009867C9" w:rsidP="009867C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 </w:t>
            </w:r>
          </w:p>
        </w:tc>
        <w:tc>
          <w:tcPr>
            <w:tcW w:w="5760" w:type="dxa"/>
            <w:tcBorders>
              <w:top w:val="single" w:sz="4" w:space="0" w:color="auto"/>
              <w:left w:val="nil"/>
              <w:bottom w:val="single" w:sz="4" w:space="0" w:color="auto"/>
              <w:right w:val="single" w:sz="4" w:space="0" w:color="auto"/>
            </w:tcBorders>
            <w:shd w:val="clear" w:color="auto" w:fill="auto"/>
            <w:vAlign w:val="bottom"/>
            <w:hideMark/>
          </w:tcPr>
          <w:p w:rsidR="009867C9" w:rsidRPr="00AE0294" w:rsidRDefault="009867C9" w:rsidP="009867C9">
            <w:pPr>
              <w:spacing w:after="0" w:line="240" w:lineRule="auto"/>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Total</w:t>
            </w:r>
            <w:r w:rsidR="001A3726" w:rsidRPr="00AE0294">
              <w:rPr>
                <w:rFonts w:eastAsia="Times New Roman" w:cstheme="minorHAnsi"/>
                <w:b/>
                <w:bCs/>
                <w:color w:val="000000"/>
                <w:sz w:val="24"/>
                <w:szCs w:val="24"/>
                <w:lang w:eastAsia="en-IN"/>
              </w:rPr>
              <w:t xml:space="preserve"> (B)</w:t>
            </w:r>
          </w:p>
        </w:tc>
        <w:tc>
          <w:tcPr>
            <w:tcW w:w="1083" w:type="dxa"/>
            <w:tcBorders>
              <w:top w:val="single" w:sz="4" w:space="0" w:color="auto"/>
              <w:left w:val="nil"/>
              <w:bottom w:val="single" w:sz="4" w:space="0" w:color="auto"/>
              <w:right w:val="single" w:sz="4" w:space="0" w:color="auto"/>
            </w:tcBorders>
            <w:shd w:val="clear" w:color="auto" w:fill="auto"/>
            <w:noWrap/>
            <w:vAlign w:val="center"/>
            <w:hideMark/>
          </w:tcPr>
          <w:p w:rsidR="009867C9" w:rsidRPr="00AE0294" w:rsidRDefault="009867C9" w:rsidP="009867C9">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2208</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9867C9" w:rsidRPr="00AE0294" w:rsidRDefault="009867C9" w:rsidP="009867C9">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1188</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9867C9" w:rsidRPr="00AE0294" w:rsidRDefault="009867C9" w:rsidP="009867C9">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3396</w:t>
            </w:r>
          </w:p>
        </w:tc>
      </w:tr>
      <w:tr w:rsidR="009867C9" w:rsidRPr="00AE0294" w:rsidTr="009867C9">
        <w:trPr>
          <w:trHeight w:val="2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67C9" w:rsidRPr="00AE0294" w:rsidRDefault="00954FE2" w:rsidP="009867C9">
            <w:pPr>
              <w:spacing w:after="0" w:line="240" w:lineRule="auto"/>
              <w:jc w:val="center"/>
              <w:rPr>
                <w:rFonts w:eastAsia="Times New Roman" w:cstheme="minorHAnsi"/>
                <w:b/>
                <w:color w:val="000000"/>
                <w:sz w:val="24"/>
                <w:szCs w:val="24"/>
                <w:lang w:eastAsia="en-IN"/>
              </w:rPr>
            </w:pPr>
            <w:r w:rsidRPr="00AE0294">
              <w:rPr>
                <w:rFonts w:eastAsia="Times New Roman" w:cstheme="minorHAnsi"/>
                <w:b/>
                <w:color w:val="000000"/>
                <w:sz w:val="24"/>
                <w:szCs w:val="24"/>
                <w:lang w:eastAsia="en-IN"/>
              </w:rPr>
              <w:t>C</w:t>
            </w:r>
          </w:p>
        </w:tc>
        <w:tc>
          <w:tcPr>
            <w:tcW w:w="5760" w:type="dxa"/>
            <w:tcBorders>
              <w:top w:val="single" w:sz="4" w:space="0" w:color="auto"/>
              <w:left w:val="nil"/>
              <w:bottom w:val="single" w:sz="4" w:space="0" w:color="auto"/>
              <w:right w:val="single" w:sz="4" w:space="0" w:color="auto"/>
            </w:tcBorders>
            <w:shd w:val="clear" w:color="auto" w:fill="auto"/>
            <w:vAlign w:val="bottom"/>
          </w:tcPr>
          <w:p w:rsidR="009867C9" w:rsidRPr="00AE0294" w:rsidRDefault="009867C9" w:rsidP="009867C9">
            <w:pPr>
              <w:spacing w:after="0" w:line="240" w:lineRule="auto"/>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Grand Total</w:t>
            </w:r>
            <w:r w:rsidR="00954FE2" w:rsidRPr="00AE0294">
              <w:rPr>
                <w:rFonts w:eastAsia="Times New Roman" w:cstheme="minorHAnsi"/>
                <w:b/>
                <w:bCs/>
                <w:color w:val="000000"/>
                <w:sz w:val="24"/>
                <w:szCs w:val="24"/>
                <w:lang w:eastAsia="en-IN"/>
              </w:rPr>
              <w:t xml:space="preserve"> (A+B)</w:t>
            </w:r>
          </w:p>
        </w:tc>
        <w:tc>
          <w:tcPr>
            <w:tcW w:w="1083" w:type="dxa"/>
            <w:tcBorders>
              <w:top w:val="single" w:sz="4" w:space="0" w:color="auto"/>
              <w:left w:val="nil"/>
              <w:bottom w:val="single" w:sz="4" w:space="0" w:color="auto"/>
              <w:right w:val="single" w:sz="4" w:space="0" w:color="auto"/>
            </w:tcBorders>
            <w:shd w:val="clear" w:color="auto" w:fill="auto"/>
            <w:noWrap/>
            <w:vAlign w:val="center"/>
          </w:tcPr>
          <w:p w:rsidR="009867C9" w:rsidRPr="00AE0294" w:rsidRDefault="009867C9" w:rsidP="009867C9">
            <w:pPr>
              <w:spacing w:after="0" w:line="240" w:lineRule="auto"/>
              <w:jc w:val="center"/>
              <w:rPr>
                <w:rFonts w:eastAsia="Times New Roman" w:cstheme="minorHAnsi"/>
                <w:b/>
                <w:bCs/>
                <w:color w:val="000000"/>
                <w:sz w:val="24"/>
                <w:szCs w:val="24"/>
                <w:lang w:eastAsia="en-IN"/>
              </w:rPr>
            </w:pPr>
            <w:r w:rsidRPr="00AE0294">
              <w:rPr>
                <w:rFonts w:cstheme="minorHAnsi"/>
                <w:b/>
                <w:color w:val="000000"/>
                <w:sz w:val="24"/>
                <w:szCs w:val="24"/>
              </w:rPr>
              <w:t>3144</w:t>
            </w:r>
          </w:p>
        </w:tc>
        <w:tc>
          <w:tcPr>
            <w:tcW w:w="1000" w:type="dxa"/>
            <w:tcBorders>
              <w:top w:val="single" w:sz="4" w:space="0" w:color="auto"/>
              <w:left w:val="nil"/>
              <w:bottom w:val="single" w:sz="4" w:space="0" w:color="auto"/>
              <w:right w:val="single" w:sz="4" w:space="0" w:color="auto"/>
            </w:tcBorders>
            <w:shd w:val="clear" w:color="auto" w:fill="auto"/>
            <w:noWrap/>
            <w:vAlign w:val="center"/>
          </w:tcPr>
          <w:p w:rsidR="009867C9" w:rsidRPr="00AE0294" w:rsidRDefault="009867C9" w:rsidP="009867C9">
            <w:pPr>
              <w:spacing w:after="0" w:line="240" w:lineRule="auto"/>
              <w:jc w:val="center"/>
              <w:rPr>
                <w:rFonts w:eastAsia="Times New Roman" w:cstheme="minorHAnsi"/>
                <w:b/>
                <w:bCs/>
                <w:color w:val="000000"/>
                <w:sz w:val="24"/>
                <w:szCs w:val="24"/>
                <w:lang w:eastAsia="en-IN"/>
              </w:rPr>
            </w:pPr>
            <w:r w:rsidRPr="00AE0294">
              <w:rPr>
                <w:rFonts w:cstheme="minorHAnsi"/>
                <w:b/>
                <w:color w:val="000000"/>
                <w:sz w:val="24"/>
                <w:szCs w:val="24"/>
              </w:rPr>
              <w:t>5237</w:t>
            </w:r>
          </w:p>
        </w:tc>
        <w:tc>
          <w:tcPr>
            <w:tcW w:w="1000" w:type="dxa"/>
            <w:tcBorders>
              <w:top w:val="single" w:sz="4" w:space="0" w:color="auto"/>
              <w:left w:val="nil"/>
              <w:bottom w:val="single" w:sz="4" w:space="0" w:color="auto"/>
              <w:right w:val="single" w:sz="4" w:space="0" w:color="auto"/>
            </w:tcBorders>
            <w:shd w:val="clear" w:color="auto" w:fill="auto"/>
            <w:noWrap/>
            <w:vAlign w:val="center"/>
          </w:tcPr>
          <w:p w:rsidR="009867C9" w:rsidRPr="00AE0294" w:rsidRDefault="009867C9" w:rsidP="009867C9">
            <w:pPr>
              <w:spacing w:after="0" w:line="240" w:lineRule="auto"/>
              <w:jc w:val="center"/>
              <w:rPr>
                <w:rFonts w:eastAsia="Times New Roman" w:cstheme="minorHAnsi"/>
                <w:b/>
                <w:bCs/>
                <w:color w:val="000000"/>
                <w:sz w:val="24"/>
                <w:szCs w:val="24"/>
                <w:lang w:eastAsia="en-IN"/>
              </w:rPr>
            </w:pPr>
            <w:r w:rsidRPr="00AE0294">
              <w:rPr>
                <w:rFonts w:cstheme="minorHAnsi"/>
                <w:b/>
                <w:color w:val="000000"/>
                <w:sz w:val="24"/>
                <w:szCs w:val="24"/>
              </w:rPr>
              <w:t>8381</w:t>
            </w:r>
          </w:p>
        </w:tc>
      </w:tr>
    </w:tbl>
    <w:p w:rsidR="009867C9" w:rsidRPr="00AE0294" w:rsidRDefault="009867C9" w:rsidP="009867C9">
      <w:pPr>
        <w:pStyle w:val="ARRB11"/>
        <w:numPr>
          <w:ilvl w:val="0"/>
          <w:numId w:val="0"/>
        </w:numPr>
        <w:ind w:left="990"/>
        <w:rPr>
          <w:szCs w:val="24"/>
        </w:rPr>
      </w:pPr>
    </w:p>
    <w:p w:rsidR="00FD4BC0" w:rsidRPr="00AE0294" w:rsidRDefault="00FD4BC0" w:rsidP="002E688A">
      <w:pPr>
        <w:pStyle w:val="ARRB11"/>
        <w:numPr>
          <w:ilvl w:val="1"/>
          <w:numId w:val="2"/>
        </w:numPr>
        <w:ind w:left="990" w:hanging="990"/>
        <w:rPr>
          <w:szCs w:val="24"/>
        </w:rPr>
      </w:pPr>
      <w:r w:rsidRPr="00AE0294">
        <w:rPr>
          <w:szCs w:val="24"/>
        </w:rPr>
        <w:lastRenderedPageBreak/>
        <w:t xml:space="preserve">Hon’ble Commission had filed its purported complaince before Hon’ble Supreme Court which has been </w:t>
      </w:r>
      <w:r w:rsidR="002E688A" w:rsidRPr="00AE0294">
        <w:rPr>
          <w:szCs w:val="24"/>
        </w:rPr>
        <w:t>contested</w:t>
      </w:r>
      <w:r w:rsidRPr="00AE0294">
        <w:rPr>
          <w:szCs w:val="24"/>
        </w:rPr>
        <w:t xml:space="preserve"> by </w:t>
      </w:r>
      <w:r w:rsidR="005F4D5E" w:rsidRPr="00AE0294">
        <w:rPr>
          <w:szCs w:val="24"/>
        </w:rPr>
        <w:t xml:space="preserve">the Petitioner </w:t>
      </w:r>
      <w:r w:rsidR="002E688A" w:rsidRPr="00AE0294">
        <w:rPr>
          <w:szCs w:val="24"/>
        </w:rPr>
        <w:t xml:space="preserve">and </w:t>
      </w:r>
      <w:r w:rsidR="005F4D5E" w:rsidRPr="00AE0294">
        <w:rPr>
          <w:szCs w:val="24"/>
        </w:rPr>
        <w:t>it</w:t>
      </w:r>
      <w:r w:rsidR="002E688A" w:rsidRPr="00AE0294">
        <w:rPr>
          <w:szCs w:val="24"/>
        </w:rPr>
        <w:t xml:space="preserve"> has filed </w:t>
      </w:r>
      <w:r w:rsidRPr="00AE0294">
        <w:rPr>
          <w:szCs w:val="24"/>
        </w:rPr>
        <w:t xml:space="preserve">Miscellaneous Applications (MA no. 634 of 2022 and 1262 of 2022) </w:t>
      </w:r>
      <w:r w:rsidR="005D2044" w:rsidRPr="00AE0294">
        <w:rPr>
          <w:szCs w:val="24"/>
        </w:rPr>
        <w:t>objecting the same. These matters are curre</w:t>
      </w:r>
      <w:r w:rsidRPr="00AE0294">
        <w:rPr>
          <w:szCs w:val="24"/>
        </w:rPr>
        <w:t xml:space="preserve">ntly pending before </w:t>
      </w:r>
      <w:r w:rsidR="002E688A" w:rsidRPr="00AE0294">
        <w:rPr>
          <w:szCs w:val="24"/>
        </w:rPr>
        <w:t xml:space="preserve">the </w:t>
      </w:r>
      <w:r w:rsidRPr="00AE0294">
        <w:rPr>
          <w:szCs w:val="24"/>
        </w:rPr>
        <w:t>Hon’ble S</w:t>
      </w:r>
      <w:r w:rsidR="002E688A" w:rsidRPr="00AE0294">
        <w:rPr>
          <w:szCs w:val="24"/>
        </w:rPr>
        <w:t xml:space="preserve">upreme </w:t>
      </w:r>
      <w:r w:rsidRPr="00AE0294">
        <w:rPr>
          <w:szCs w:val="24"/>
        </w:rPr>
        <w:t>C</w:t>
      </w:r>
      <w:r w:rsidR="002E688A" w:rsidRPr="00AE0294">
        <w:rPr>
          <w:szCs w:val="24"/>
        </w:rPr>
        <w:t>ourt</w:t>
      </w:r>
      <w:r w:rsidRPr="00AE0294">
        <w:rPr>
          <w:szCs w:val="24"/>
        </w:rPr>
        <w:t xml:space="preserve">. </w:t>
      </w:r>
    </w:p>
    <w:p w:rsidR="009141CD" w:rsidRPr="00AE0294" w:rsidRDefault="009141CD" w:rsidP="00C01269">
      <w:pPr>
        <w:pStyle w:val="ARRB11"/>
        <w:numPr>
          <w:ilvl w:val="0"/>
          <w:numId w:val="0"/>
        </w:numPr>
        <w:ind w:left="990"/>
        <w:rPr>
          <w:b/>
          <w:szCs w:val="24"/>
        </w:rPr>
      </w:pPr>
      <w:r w:rsidRPr="00AE0294">
        <w:rPr>
          <w:b/>
          <w:szCs w:val="24"/>
        </w:rPr>
        <w:t>Impact of Principles laid down in the judgment in Civil Appeal No. 1854-1855 of 2013 (arising from APTEL judgment dated 28.11.2013 in O.P. 1 and 2 of 2012)</w:t>
      </w:r>
    </w:p>
    <w:p w:rsidR="009141CD" w:rsidRPr="00AE0294" w:rsidRDefault="009141CD" w:rsidP="009141CD">
      <w:pPr>
        <w:pStyle w:val="ARRB11"/>
        <w:numPr>
          <w:ilvl w:val="1"/>
          <w:numId w:val="2"/>
        </w:numPr>
        <w:ind w:left="990" w:hanging="990"/>
        <w:rPr>
          <w:szCs w:val="24"/>
        </w:rPr>
      </w:pPr>
      <w:r w:rsidRPr="00AE0294">
        <w:rPr>
          <w:szCs w:val="24"/>
        </w:rPr>
        <w:t>Hon’ble APTEL at Para 40 in OP No. 1 of 2012 directed Hon’ble Commission, as under:</w:t>
      </w:r>
    </w:p>
    <w:p w:rsidR="009141CD" w:rsidRPr="00AE0294" w:rsidRDefault="009141CD" w:rsidP="009141CD">
      <w:pPr>
        <w:spacing w:line="360" w:lineRule="auto"/>
        <w:ind w:left="1418"/>
        <w:jc w:val="both"/>
        <w:rPr>
          <w:rFonts w:cstheme="minorHAnsi"/>
          <w:i/>
          <w:iCs/>
          <w:sz w:val="24"/>
          <w:szCs w:val="24"/>
        </w:rPr>
      </w:pPr>
      <w:r w:rsidRPr="00AE0294">
        <w:rPr>
          <w:rFonts w:cstheme="minorHAnsi"/>
          <w:i/>
          <w:iCs/>
          <w:sz w:val="24"/>
          <w:szCs w:val="24"/>
        </w:rPr>
        <w:t>“ii) The refusal by the Delhi Commission to implement the judgments of thisTribunal would amount to judicial indiscipline and is against the settledposition of law. Mere filing of the Appeal or proposal to file the Appeal wouldnot amount to the effect of automatic stay of the Tribunal’s judgment.</w:t>
      </w:r>
    </w:p>
    <w:p w:rsidR="009141CD" w:rsidRPr="00AE0294" w:rsidRDefault="009141CD" w:rsidP="009141CD">
      <w:pPr>
        <w:spacing w:line="360" w:lineRule="auto"/>
        <w:ind w:left="1418"/>
        <w:jc w:val="both"/>
        <w:rPr>
          <w:rFonts w:cstheme="minorHAnsi"/>
          <w:sz w:val="24"/>
          <w:szCs w:val="24"/>
          <w:lang w:val="en-US"/>
        </w:rPr>
      </w:pPr>
      <w:r w:rsidRPr="00AE0294">
        <w:rPr>
          <w:rFonts w:cstheme="minorHAnsi"/>
          <w:i/>
          <w:iCs/>
          <w:sz w:val="24"/>
          <w:szCs w:val="24"/>
        </w:rPr>
        <w:t>However, in view of the affidavit filed by Delhi Commission in Appeal No.14 of2012 and submissions made in these petitions, we do not propose to take anypenal action against the Delhi Commission except to advise it to correct its mistakes committed earlier and follow the directions issued by this Tribunal infuture.”</w:t>
      </w:r>
    </w:p>
    <w:p w:rsidR="009141CD" w:rsidRPr="00AE0294" w:rsidRDefault="009141CD" w:rsidP="009141CD">
      <w:pPr>
        <w:pStyle w:val="ARRB11"/>
        <w:numPr>
          <w:ilvl w:val="1"/>
          <w:numId w:val="2"/>
        </w:numPr>
        <w:ind w:left="990" w:hanging="990"/>
        <w:rPr>
          <w:szCs w:val="24"/>
          <w:lang w:val="en-US"/>
        </w:rPr>
      </w:pPr>
      <w:r w:rsidRPr="00AE0294">
        <w:rPr>
          <w:szCs w:val="24"/>
        </w:rPr>
        <w:t>Hon’ble</w:t>
      </w:r>
      <w:r w:rsidRPr="00AE0294">
        <w:rPr>
          <w:szCs w:val="24"/>
          <w:lang w:val="en-US"/>
        </w:rPr>
        <w:t xml:space="preserve"> Supreme Court by its Judgment dated 01.12.2021 upheld Hon’ble APTEL Judgment in </w:t>
      </w:r>
      <w:r w:rsidR="007C7466" w:rsidRPr="00AE0294">
        <w:rPr>
          <w:szCs w:val="24"/>
          <w:lang w:val="en-US"/>
        </w:rPr>
        <w:t xml:space="preserve">O.P. No. 1 and 2 of 2012 dated </w:t>
      </w:r>
      <w:r w:rsidR="00B219ED" w:rsidRPr="00AE0294">
        <w:rPr>
          <w:szCs w:val="24"/>
          <w:lang w:val="en-US"/>
        </w:rPr>
        <w:t>14</w:t>
      </w:r>
      <w:r w:rsidRPr="00AE0294">
        <w:rPr>
          <w:szCs w:val="24"/>
          <w:lang w:val="en-US"/>
        </w:rPr>
        <w:t>.11.2013. Thus, t</w:t>
      </w:r>
      <w:r w:rsidRPr="00AE0294">
        <w:rPr>
          <w:szCs w:val="24"/>
        </w:rPr>
        <w:t>he principle laid down by the Hon’ble APTEL in the Judgment</w:t>
      </w:r>
      <w:r w:rsidR="004669ED" w:rsidRPr="00AE0294">
        <w:rPr>
          <w:szCs w:val="24"/>
        </w:rPr>
        <w:t xml:space="preserve"> </w:t>
      </w:r>
      <w:r w:rsidRPr="00AE0294">
        <w:rPr>
          <w:szCs w:val="24"/>
          <w:lang w:val="en-US"/>
        </w:rPr>
        <w:t xml:space="preserve">has to be implemented by the Hon’ble Commission if the same is not stayed by the Hon’ble Supreme Court. </w:t>
      </w:r>
    </w:p>
    <w:p w:rsidR="002E6065" w:rsidRPr="00AE0294" w:rsidRDefault="009141CD" w:rsidP="009141CD">
      <w:pPr>
        <w:pStyle w:val="ARRB11"/>
        <w:numPr>
          <w:ilvl w:val="1"/>
          <w:numId w:val="2"/>
        </w:numPr>
        <w:ind w:left="990" w:hanging="990"/>
        <w:rPr>
          <w:szCs w:val="24"/>
          <w:lang w:val="en-US"/>
        </w:rPr>
      </w:pPr>
      <w:r w:rsidRPr="00AE0294">
        <w:rPr>
          <w:szCs w:val="24"/>
          <w:lang w:val="en-US"/>
        </w:rPr>
        <w:t>The issue wise details of claim have already been submitted before the Hon’ble Commission vide</w:t>
      </w:r>
      <w:r w:rsidR="004669ED" w:rsidRPr="00AE0294">
        <w:rPr>
          <w:szCs w:val="24"/>
          <w:lang w:val="en-US"/>
        </w:rPr>
        <w:t xml:space="preserve"> </w:t>
      </w:r>
      <w:r w:rsidR="002E688A" w:rsidRPr="00AE0294">
        <w:rPr>
          <w:szCs w:val="24"/>
          <w:lang w:val="en-US"/>
        </w:rPr>
        <w:t xml:space="preserve">letter dated 03.01.2022, the contents of which may be read as part and parcel of this Petition and are not being repeated here to avoid prolixity. </w:t>
      </w:r>
    </w:p>
    <w:p w:rsidR="009141CD" w:rsidRPr="00AE0294" w:rsidRDefault="004669ED" w:rsidP="009141CD">
      <w:pPr>
        <w:pStyle w:val="ARRB11"/>
        <w:numPr>
          <w:ilvl w:val="1"/>
          <w:numId w:val="2"/>
        </w:numPr>
        <w:ind w:left="990" w:hanging="990"/>
        <w:rPr>
          <w:szCs w:val="24"/>
          <w:lang w:val="en-US"/>
        </w:rPr>
      </w:pPr>
      <w:r w:rsidRPr="00AE0294">
        <w:rPr>
          <w:szCs w:val="24"/>
          <w:lang w:val="en-US"/>
        </w:rPr>
        <w:t>T</w:t>
      </w:r>
      <w:r w:rsidR="009141CD" w:rsidRPr="00AE0294">
        <w:rPr>
          <w:szCs w:val="24"/>
          <w:lang w:val="en-US"/>
        </w:rPr>
        <w:t xml:space="preserve">he financial impact of issues which have been allowed by the Hon’ble APTEL and not stayed by Hon’ble </w:t>
      </w:r>
      <w:r w:rsidRPr="00AE0294">
        <w:rPr>
          <w:szCs w:val="24"/>
          <w:lang w:val="en-US"/>
        </w:rPr>
        <w:t>SC</w:t>
      </w:r>
      <w:r w:rsidR="009141CD" w:rsidRPr="00AE0294">
        <w:rPr>
          <w:szCs w:val="24"/>
          <w:lang w:val="en-US"/>
        </w:rPr>
        <w:t xml:space="preserve"> but are pending implementation is as under:</w:t>
      </w:r>
    </w:p>
    <w:p w:rsidR="00F8479F" w:rsidRPr="00AE0294" w:rsidRDefault="00F8479F" w:rsidP="00F8479F">
      <w:pPr>
        <w:pStyle w:val="Caption"/>
        <w:ind w:left="644"/>
        <w:jc w:val="center"/>
        <w:rPr>
          <w:rFonts w:cstheme="minorHAnsi"/>
          <w:b/>
          <w:i w:val="0"/>
          <w:color w:val="000000" w:themeColor="text1"/>
          <w:sz w:val="24"/>
          <w:szCs w:val="24"/>
        </w:rPr>
      </w:pPr>
      <w:bookmarkStart w:id="3" w:name="_Toc120734110"/>
      <w:r w:rsidRPr="00AE0294">
        <w:rPr>
          <w:rFonts w:cstheme="minorHAnsi"/>
          <w:b/>
          <w:i w:val="0"/>
          <w:color w:val="000000" w:themeColor="text1"/>
          <w:sz w:val="24"/>
          <w:szCs w:val="24"/>
        </w:rPr>
        <w:t xml:space="preserve">Table 3B </w:t>
      </w:r>
      <w:r w:rsidR="00BC0EFD" w:rsidRPr="00AE0294">
        <w:rPr>
          <w:rFonts w:cstheme="minorHAnsi"/>
          <w:b/>
          <w:i w:val="0"/>
          <w:color w:val="000000" w:themeColor="text1"/>
          <w:sz w:val="24"/>
          <w:szCs w:val="24"/>
        </w:rPr>
        <w:fldChar w:fldCharType="begin"/>
      </w:r>
      <w:r w:rsidRPr="00AE0294">
        <w:rPr>
          <w:rFonts w:cstheme="minorHAnsi"/>
          <w:b/>
          <w:i w:val="0"/>
          <w:color w:val="000000" w:themeColor="text1"/>
          <w:sz w:val="24"/>
          <w:szCs w:val="24"/>
        </w:rPr>
        <w:instrText xml:space="preserve"> SEQ Table_3B \* ARABIC </w:instrText>
      </w:r>
      <w:r w:rsidR="00BC0EFD" w:rsidRPr="00AE0294">
        <w:rPr>
          <w:rFonts w:cstheme="minorHAnsi"/>
          <w:b/>
          <w:i w:val="0"/>
          <w:color w:val="000000" w:themeColor="text1"/>
          <w:sz w:val="24"/>
          <w:szCs w:val="24"/>
        </w:rPr>
        <w:fldChar w:fldCharType="separate"/>
      </w:r>
      <w:r w:rsidR="006D2E03">
        <w:rPr>
          <w:rFonts w:cstheme="minorHAnsi"/>
          <w:b/>
          <w:i w:val="0"/>
          <w:noProof/>
          <w:color w:val="000000" w:themeColor="text1"/>
          <w:sz w:val="24"/>
          <w:szCs w:val="24"/>
        </w:rPr>
        <w:t>2</w:t>
      </w:r>
      <w:r w:rsidR="00BC0EFD" w:rsidRPr="00AE0294">
        <w:rPr>
          <w:rFonts w:cstheme="minorHAnsi"/>
          <w:b/>
          <w:i w:val="0"/>
          <w:color w:val="000000" w:themeColor="text1"/>
          <w:sz w:val="24"/>
          <w:szCs w:val="24"/>
        </w:rPr>
        <w:fldChar w:fldCharType="end"/>
      </w:r>
      <w:r w:rsidRPr="00AE0294">
        <w:rPr>
          <w:rFonts w:cstheme="minorHAnsi"/>
          <w:b/>
          <w:i w:val="0"/>
          <w:color w:val="000000" w:themeColor="text1"/>
          <w:sz w:val="24"/>
          <w:szCs w:val="24"/>
        </w:rPr>
        <w:t>: Impact of Principles laid down in the judgment in Civil Appeal No. 1854-1855 of 2013</w:t>
      </w:r>
      <w:bookmarkEnd w:id="3"/>
    </w:p>
    <w:tbl>
      <w:tblPr>
        <w:tblW w:w="8636" w:type="dxa"/>
        <w:tblInd w:w="421" w:type="dxa"/>
        <w:tblLook w:val="04A0" w:firstRow="1" w:lastRow="0" w:firstColumn="1" w:lastColumn="0" w:noHBand="0" w:noVBand="1"/>
      </w:tblPr>
      <w:tblGrid>
        <w:gridCol w:w="960"/>
        <w:gridCol w:w="4544"/>
        <w:gridCol w:w="1124"/>
        <w:gridCol w:w="1048"/>
        <w:gridCol w:w="960"/>
      </w:tblGrid>
      <w:tr w:rsidR="009141CD" w:rsidRPr="00AE0294" w:rsidTr="009141CD">
        <w:trPr>
          <w:trHeight w:val="330"/>
          <w:tblHead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41CD" w:rsidRPr="00AE0294" w:rsidRDefault="009141CD" w:rsidP="00FB47D7">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S.No.</w:t>
            </w:r>
          </w:p>
        </w:tc>
        <w:tc>
          <w:tcPr>
            <w:tcW w:w="4568" w:type="dxa"/>
            <w:tcBorders>
              <w:top w:val="single" w:sz="4" w:space="0" w:color="auto"/>
              <w:left w:val="nil"/>
              <w:bottom w:val="single" w:sz="4" w:space="0" w:color="auto"/>
              <w:right w:val="single" w:sz="4" w:space="0" w:color="auto"/>
            </w:tcBorders>
            <w:shd w:val="clear" w:color="auto" w:fill="auto"/>
            <w:vAlign w:val="center"/>
            <w:hideMark/>
          </w:tcPr>
          <w:p w:rsidR="009141CD" w:rsidRPr="00AE0294" w:rsidRDefault="009141CD" w:rsidP="00FB47D7">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Particulars</w:t>
            </w:r>
          </w:p>
        </w:tc>
        <w:tc>
          <w:tcPr>
            <w:tcW w:w="1124" w:type="dxa"/>
            <w:tcBorders>
              <w:top w:val="single" w:sz="4" w:space="0" w:color="auto"/>
              <w:left w:val="nil"/>
              <w:bottom w:val="single" w:sz="4" w:space="0" w:color="auto"/>
              <w:right w:val="single" w:sz="4" w:space="0" w:color="auto"/>
            </w:tcBorders>
            <w:shd w:val="clear" w:color="auto" w:fill="auto"/>
            <w:noWrap/>
            <w:vAlign w:val="bottom"/>
            <w:hideMark/>
          </w:tcPr>
          <w:p w:rsidR="009141CD" w:rsidRPr="00AE0294" w:rsidRDefault="009141CD" w:rsidP="00FB47D7">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Principal</w:t>
            </w:r>
          </w:p>
        </w:tc>
        <w:tc>
          <w:tcPr>
            <w:tcW w:w="1024" w:type="dxa"/>
            <w:tcBorders>
              <w:top w:val="single" w:sz="4" w:space="0" w:color="auto"/>
              <w:left w:val="nil"/>
              <w:bottom w:val="single" w:sz="4" w:space="0" w:color="auto"/>
              <w:right w:val="single" w:sz="4" w:space="0" w:color="auto"/>
            </w:tcBorders>
            <w:shd w:val="clear" w:color="auto" w:fill="auto"/>
            <w:noWrap/>
            <w:vAlign w:val="bottom"/>
            <w:hideMark/>
          </w:tcPr>
          <w:p w:rsidR="009141CD" w:rsidRPr="00AE0294" w:rsidRDefault="00585826" w:rsidP="00FB47D7">
            <w:pPr>
              <w:spacing w:after="0" w:line="240" w:lineRule="auto"/>
              <w:jc w:val="center"/>
              <w:rPr>
                <w:rFonts w:eastAsia="Times New Roman" w:cstheme="minorHAnsi"/>
                <w:b/>
                <w:bCs/>
                <w:color w:val="000000"/>
                <w:sz w:val="24"/>
                <w:szCs w:val="24"/>
                <w:lang w:eastAsia="en-IN"/>
              </w:rPr>
            </w:pPr>
            <w:r>
              <w:rPr>
                <w:rFonts w:eastAsia="Times New Roman" w:cstheme="minorHAnsi"/>
                <w:b/>
                <w:bCs/>
                <w:color w:val="000000"/>
                <w:sz w:val="24"/>
                <w:szCs w:val="24"/>
                <w:lang w:eastAsia="en-IN"/>
              </w:rPr>
              <w:t>Carrying Cost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9141CD" w:rsidRPr="00AE0294" w:rsidRDefault="009141CD" w:rsidP="00FB47D7">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Total</w:t>
            </w:r>
          </w:p>
        </w:tc>
      </w:tr>
      <w:tr w:rsidR="009141CD" w:rsidRPr="00AE0294" w:rsidTr="00FB47D7">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tcPr>
          <w:p w:rsidR="009141CD" w:rsidRPr="00AE0294" w:rsidRDefault="009141CD" w:rsidP="00FB47D7">
            <w:pPr>
              <w:pStyle w:val="ListParagraph"/>
              <w:widowControl/>
              <w:numPr>
                <w:ilvl w:val="0"/>
                <w:numId w:val="8"/>
              </w:numPr>
              <w:adjustRightInd/>
              <w:spacing w:line="240" w:lineRule="auto"/>
              <w:ind w:hanging="414"/>
              <w:jc w:val="left"/>
              <w:textAlignment w:val="auto"/>
              <w:rPr>
                <w:rFonts w:asciiTheme="minorHAnsi" w:hAnsiTheme="minorHAnsi" w:cstheme="minorHAnsi"/>
                <w:color w:val="000000"/>
                <w:lang w:eastAsia="en-IN"/>
              </w:rPr>
            </w:pPr>
          </w:p>
        </w:tc>
        <w:tc>
          <w:tcPr>
            <w:tcW w:w="4568" w:type="dxa"/>
            <w:tcBorders>
              <w:top w:val="nil"/>
              <w:left w:val="nil"/>
              <w:bottom w:val="single" w:sz="4" w:space="0" w:color="auto"/>
              <w:right w:val="single" w:sz="4" w:space="0" w:color="auto"/>
            </w:tcBorders>
            <w:shd w:val="clear" w:color="auto" w:fill="auto"/>
            <w:vAlign w:val="center"/>
            <w:hideMark/>
          </w:tcPr>
          <w:p w:rsidR="009141CD" w:rsidRPr="00AE0294" w:rsidRDefault="009141CD" w:rsidP="00FB47D7">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Computation of AT&amp;C Losses for FY 2009-10 using actual Kwh Figures</w:t>
            </w:r>
          </w:p>
        </w:tc>
        <w:tc>
          <w:tcPr>
            <w:tcW w:w="1124" w:type="dxa"/>
            <w:tcBorders>
              <w:top w:val="nil"/>
              <w:left w:val="nil"/>
              <w:bottom w:val="single" w:sz="4" w:space="0" w:color="auto"/>
              <w:right w:val="single" w:sz="4" w:space="0" w:color="auto"/>
            </w:tcBorders>
            <w:shd w:val="clear" w:color="auto" w:fill="auto"/>
            <w:noWrap/>
            <w:vAlign w:val="center"/>
          </w:tcPr>
          <w:p w:rsidR="009141CD" w:rsidRPr="00AE0294" w:rsidRDefault="00FD69CC" w:rsidP="00FB47D7">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0</w:t>
            </w:r>
          </w:p>
        </w:tc>
        <w:tc>
          <w:tcPr>
            <w:tcW w:w="1024" w:type="dxa"/>
            <w:tcBorders>
              <w:top w:val="nil"/>
              <w:left w:val="nil"/>
              <w:bottom w:val="single" w:sz="4" w:space="0" w:color="auto"/>
              <w:right w:val="single" w:sz="4" w:space="0" w:color="auto"/>
            </w:tcBorders>
            <w:shd w:val="clear" w:color="auto" w:fill="auto"/>
            <w:noWrap/>
            <w:vAlign w:val="center"/>
          </w:tcPr>
          <w:p w:rsidR="009141CD" w:rsidRPr="00AE0294" w:rsidRDefault="00FD69CC" w:rsidP="00FB47D7">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0</w:t>
            </w:r>
          </w:p>
        </w:tc>
        <w:tc>
          <w:tcPr>
            <w:tcW w:w="960" w:type="dxa"/>
            <w:tcBorders>
              <w:top w:val="nil"/>
              <w:left w:val="nil"/>
              <w:bottom w:val="single" w:sz="4" w:space="0" w:color="auto"/>
              <w:right w:val="single" w:sz="4" w:space="0" w:color="auto"/>
            </w:tcBorders>
            <w:shd w:val="clear" w:color="auto" w:fill="auto"/>
            <w:noWrap/>
            <w:vAlign w:val="center"/>
          </w:tcPr>
          <w:p w:rsidR="009141CD" w:rsidRPr="00AE0294" w:rsidRDefault="00FD69CC" w:rsidP="00FB47D7">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0</w:t>
            </w:r>
          </w:p>
        </w:tc>
      </w:tr>
      <w:tr w:rsidR="00FB47D7" w:rsidRPr="00AE0294" w:rsidTr="009141CD">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tcPr>
          <w:p w:rsidR="00FB47D7" w:rsidRPr="00AE0294" w:rsidRDefault="00FB47D7" w:rsidP="00FB47D7">
            <w:pPr>
              <w:pStyle w:val="ListParagraph"/>
              <w:widowControl/>
              <w:numPr>
                <w:ilvl w:val="0"/>
                <w:numId w:val="8"/>
              </w:numPr>
              <w:adjustRightInd/>
              <w:spacing w:line="240" w:lineRule="auto"/>
              <w:ind w:hanging="414"/>
              <w:jc w:val="left"/>
              <w:textAlignment w:val="auto"/>
              <w:rPr>
                <w:rFonts w:asciiTheme="minorHAnsi" w:hAnsiTheme="minorHAnsi" w:cstheme="minorHAnsi"/>
                <w:color w:val="000000"/>
                <w:lang w:eastAsia="en-IN"/>
              </w:rPr>
            </w:pPr>
          </w:p>
        </w:tc>
        <w:tc>
          <w:tcPr>
            <w:tcW w:w="4568" w:type="dxa"/>
            <w:tcBorders>
              <w:top w:val="nil"/>
              <w:left w:val="nil"/>
              <w:bottom w:val="single" w:sz="4" w:space="0" w:color="auto"/>
              <w:right w:val="single" w:sz="4" w:space="0" w:color="auto"/>
            </w:tcBorders>
            <w:shd w:val="clear" w:color="auto" w:fill="auto"/>
            <w:vAlign w:val="center"/>
            <w:hideMark/>
          </w:tcPr>
          <w:p w:rsidR="00FB47D7" w:rsidRPr="00AE0294" w:rsidRDefault="00FB47D7" w:rsidP="00FB47D7">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Cost of Auditor Certificates pursuant to Judgment in Appeal 246 of 2014</w:t>
            </w:r>
          </w:p>
        </w:tc>
        <w:tc>
          <w:tcPr>
            <w:tcW w:w="1124" w:type="dxa"/>
            <w:tcBorders>
              <w:top w:val="nil"/>
              <w:left w:val="nil"/>
              <w:bottom w:val="single" w:sz="4" w:space="0" w:color="auto"/>
              <w:right w:val="single" w:sz="4" w:space="0" w:color="auto"/>
            </w:tcBorders>
            <w:shd w:val="clear" w:color="auto" w:fill="auto"/>
            <w:noWrap/>
            <w:vAlign w:val="center"/>
            <w:hideMark/>
          </w:tcPr>
          <w:p w:rsidR="00FB47D7" w:rsidRPr="00AE0294" w:rsidRDefault="00FB47D7" w:rsidP="00FB47D7">
            <w:pPr>
              <w:spacing w:after="0" w:line="240" w:lineRule="auto"/>
              <w:jc w:val="center"/>
              <w:rPr>
                <w:rFonts w:cstheme="minorHAnsi"/>
                <w:color w:val="000000"/>
                <w:sz w:val="24"/>
                <w:szCs w:val="24"/>
              </w:rPr>
            </w:pPr>
            <w:r w:rsidRPr="00AE0294">
              <w:rPr>
                <w:rFonts w:cstheme="minorHAnsi"/>
                <w:color w:val="000000"/>
                <w:sz w:val="24"/>
                <w:szCs w:val="24"/>
              </w:rPr>
              <w:t>1</w:t>
            </w:r>
          </w:p>
        </w:tc>
        <w:tc>
          <w:tcPr>
            <w:tcW w:w="1024" w:type="dxa"/>
            <w:tcBorders>
              <w:top w:val="nil"/>
              <w:left w:val="nil"/>
              <w:bottom w:val="single" w:sz="4" w:space="0" w:color="auto"/>
              <w:right w:val="single" w:sz="4" w:space="0" w:color="auto"/>
            </w:tcBorders>
            <w:shd w:val="clear" w:color="auto" w:fill="auto"/>
            <w:noWrap/>
            <w:vAlign w:val="center"/>
            <w:hideMark/>
          </w:tcPr>
          <w:p w:rsidR="00FB47D7" w:rsidRPr="00AE0294" w:rsidRDefault="00FB47D7" w:rsidP="00FB47D7">
            <w:pPr>
              <w:spacing w:after="0" w:line="240" w:lineRule="auto"/>
              <w:jc w:val="center"/>
              <w:rPr>
                <w:rFonts w:cstheme="minorHAnsi"/>
                <w:color w:val="000000"/>
                <w:sz w:val="24"/>
                <w:szCs w:val="24"/>
              </w:rPr>
            </w:pPr>
            <w:r w:rsidRPr="00AE0294">
              <w:rPr>
                <w:rFonts w:cstheme="minorHAnsi"/>
                <w:color w:val="000000"/>
                <w:sz w:val="24"/>
                <w:szCs w:val="24"/>
              </w:rPr>
              <w:t>1</w:t>
            </w:r>
          </w:p>
        </w:tc>
        <w:tc>
          <w:tcPr>
            <w:tcW w:w="960" w:type="dxa"/>
            <w:tcBorders>
              <w:top w:val="nil"/>
              <w:left w:val="nil"/>
              <w:bottom w:val="single" w:sz="4" w:space="0" w:color="auto"/>
              <w:right w:val="single" w:sz="4" w:space="0" w:color="auto"/>
            </w:tcBorders>
            <w:shd w:val="clear" w:color="auto" w:fill="auto"/>
            <w:noWrap/>
            <w:vAlign w:val="center"/>
            <w:hideMark/>
          </w:tcPr>
          <w:p w:rsidR="00FB47D7" w:rsidRPr="00AE0294" w:rsidRDefault="00FB47D7" w:rsidP="00FB47D7">
            <w:pPr>
              <w:spacing w:after="0" w:line="240" w:lineRule="auto"/>
              <w:jc w:val="center"/>
              <w:rPr>
                <w:rFonts w:cstheme="minorHAnsi"/>
                <w:color w:val="000000"/>
                <w:sz w:val="24"/>
                <w:szCs w:val="24"/>
              </w:rPr>
            </w:pPr>
            <w:r w:rsidRPr="00AE0294">
              <w:rPr>
                <w:rFonts w:cstheme="minorHAnsi"/>
                <w:color w:val="000000"/>
                <w:sz w:val="24"/>
                <w:szCs w:val="24"/>
              </w:rPr>
              <w:t>2</w:t>
            </w:r>
          </w:p>
        </w:tc>
      </w:tr>
      <w:tr w:rsidR="00FB47D7" w:rsidRPr="00AE0294" w:rsidTr="009141CD">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tcPr>
          <w:p w:rsidR="00FB47D7" w:rsidRPr="00AE0294" w:rsidRDefault="00FB47D7" w:rsidP="00FB47D7">
            <w:pPr>
              <w:pStyle w:val="ListParagraph"/>
              <w:widowControl/>
              <w:numPr>
                <w:ilvl w:val="0"/>
                <w:numId w:val="8"/>
              </w:numPr>
              <w:adjustRightInd/>
              <w:spacing w:line="240" w:lineRule="auto"/>
              <w:ind w:hanging="414"/>
              <w:jc w:val="left"/>
              <w:textAlignment w:val="auto"/>
              <w:rPr>
                <w:rFonts w:asciiTheme="minorHAnsi" w:hAnsiTheme="minorHAnsi" w:cstheme="minorHAnsi"/>
                <w:color w:val="000000"/>
                <w:lang w:eastAsia="en-IN"/>
              </w:rPr>
            </w:pPr>
          </w:p>
        </w:tc>
        <w:tc>
          <w:tcPr>
            <w:tcW w:w="4568" w:type="dxa"/>
            <w:tcBorders>
              <w:top w:val="nil"/>
              <w:left w:val="nil"/>
              <w:bottom w:val="single" w:sz="4" w:space="0" w:color="auto"/>
              <w:right w:val="single" w:sz="4" w:space="0" w:color="auto"/>
            </w:tcBorders>
            <w:shd w:val="clear" w:color="auto" w:fill="auto"/>
            <w:vAlign w:val="center"/>
            <w:hideMark/>
          </w:tcPr>
          <w:p w:rsidR="00FB47D7" w:rsidRPr="00AE0294" w:rsidRDefault="00FB47D7" w:rsidP="00FB47D7">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Disallowance of Bank Charges/ Syndication Fees from FY 2012-13 To FY 2016-17</w:t>
            </w:r>
          </w:p>
        </w:tc>
        <w:tc>
          <w:tcPr>
            <w:tcW w:w="1124" w:type="dxa"/>
            <w:tcBorders>
              <w:top w:val="nil"/>
              <w:left w:val="nil"/>
              <w:bottom w:val="single" w:sz="4" w:space="0" w:color="auto"/>
              <w:right w:val="single" w:sz="4" w:space="0" w:color="auto"/>
            </w:tcBorders>
            <w:shd w:val="clear" w:color="auto" w:fill="auto"/>
            <w:noWrap/>
            <w:vAlign w:val="center"/>
            <w:hideMark/>
          </w:tcPr>
          <w:p w:rsidR="00FB47D7" w:rsidRPr="00AE0294" w:rsidRDefault="00FB47D7" w:rsidP="00FB47D7">
            <w:pPr>
              <w:spacing w:after="0" w:line="240" w:lineRule="auto"/>
              <w:jc w:val="center"/>
              <w:rPr>
                <w:rFonts w:cstheme="minorHAnsi"/>
                <w:color w:val="000000"/>
                <w:sz w:val="24"/>
                <w:szCs w:val="24"/>
              </w:rPr>
            </w:pPr>
            <w:r w:rsidRPr="00AE0294">
              <w:rPr>
                <w:rFonts w:cstheme="minorHAnsi"/>
                <w:color w:val="000000"/>
                <w:sz w:val="24"/>
                <w:szCs w:val="24"/>
              </w:rPr>
              <w:t>100</w:t>
            </w:r>
          </w:p>
        </w:tc>
        <w:tc>
          <w:tcPr>
            <w:tcW w:w="1024" w:type="dxa"/>
            <w:tcBorders>
              <w:top w:val="nil"/>
              <w:left w:val="nil"/>
              <w:bottom w:val="single" w:sz="4" w:space="0" w:color="auto"/>
              <w:right w:val="single" w:sz="4" w:space="0" w:color="auto"/>
            </w:tcBorders>
            <w:shd w:val="clear" w:color="auto" w:fill="auto"/>
            <w:noWrap/>
            <w:vAlign w:val="center"/>
            <w:hideMark/>
          </w:tcPr>
          <w:p w:rsidR="00FB47D7" w:rsidRPr="00AE0294" w:rsidRDefault="00FB47D7" w:rsidP="00FB47D7">
            <w:pPr>
              <w:spacing w:after="0" w:line="240" w:lineRule="auto"/>
              <w:jc w:val="center"/>
              <w:rPr>
                <w:rFonts w:cstheme="minorHAnsi"/>
                <w:color w:val="000000"/>
                <w:sz w:val="24"/>
                <w:szCs w:val="24"/>
              </w:rPr>
            </w:pPr>
            <w:r w:rsidRPr="00AE0294">
              <w:rPr>
                <w:rFonts w:cstheme="minorHAnsi"/>
                <w:color w:val="000000"/>
                <w:sz w:val="24"/>
                <w:szCs w:val="24"/>
              </w:rPr>
              <w:t>179</w:t>
            </w:r>
          </w:p>
        </w:tc>
        <w:tc>
          <w:tcPr>
            <w:tcW w:w="960" w:type="dxa"/>
            <w:tcBorders>
              <w:top w:val="nil"/>
              <w:left w:val="nil"/>
              <w:bottom w:val="single" w:sz="4" w:space="0" w:color="auto"/>
              <w:right w:val="single" w:sz="4" w:space="0" w:color="auto"/>
            </w:tcBorders>
            <w:shd w:val="clear" w:color="auto" w:fill="auto"/>
            <w:noWrap/>
            <w:vAlign w:val="center"/>
            <w:hideMark/>
          </w:tcPr>
          <w:p w:rsidR="00FB47D7" w:rsidRPr="00AE0294" w:rsidRDefault="00FB47D7" w:rsidP="00FB47D7">
            <w:pPr>
              <w:spacing w:after="0" w:line="240" w:lineRule="auto"/>
              <w:jc w:val="center"/>
              <w:rPr>
                <w:rFonts w:cstheme="minorHAnsi"/>
                <w:color w:val="000000"/>
                <w:sz w:val="24"/>
                <w:szCs w:val="24"/>
              </w:rPr>
            </w:pPr>
            <w:r w:rsidRPr="00AE0294">
              <w:rPr>
                <w:rFonts w:cstheme="minorHAnsi"/>
                <w:color w:val="000000"/>
                <w:sz w:val="24"/>
                <w:szCs w:val="24"/>
              </w:rPr>
              <w:t>279</w:t>
            </w:r>
          </w:p>
        </w:tc>
      </w:tr>
      <w:tr w:rsidR="00FB47D7" w:rsidRPr="00AE0294" w:rsidTr="009141CD">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tcPr>
          <w:p w:rsidR="00FB47D7" w:rsidRPr="00AE0294" w:rsidRDefault="00FB47D7" w:rsidP="00FB47D7">
            <w:pPr>
              <w:pStyle w:val="ListParagraph"/>
              <w:widowControl/>
              <w:numPr>
                <w:ilvl w:val="0"/>
                <w:numId w:val="8"/>
              </w:numPr>
              <w:adjustRightInd/>
              <w:spacing w:line="240" w:lineRule="auto"/>
              <w:ind w:hanging="414"/>
              <w:jc w:val="left"/>
              <w:textAlignment w:val="auto"/>
              <w:rPr>
                <w:rFonts w:asciiTheme="minorHAnsi" w:hAnsiTheme="minorHAnsi" w:cstheme="minorHAnsi"/>
                <w:color w:val="000000"/>
                <w:lang w:eastAsia="en-IN"/>
              </w:rPr>
            </w:pPr>
          </w:p>
        </w:tc>
        <w:tc>
          <w:tcPr>
            <w:tcW w:w="4568" w:type="dxa"/>
            <w:tcBorders>
              <w:top w:val="nil"/>
              <w:left w:val="nil"/>
              <w:bottom w:val="single" w:sz="4" w:space="0" w:color="auto"/>
              <w:right w:val="single" w:sz="4" w:space="0" w:color="auto"/>
            </w:tcBorders>
            <w:shd w:val="clear" w:color="auto" w:fill="auto"/>
            <w:vAlign w:val="center"/>
            <w:hideMark/>
          </w:tcPr>
          <w:p w:rsidR="00FB47D7" w:rsidRPr="00AE0294" w:rsidRDefault="00FB47D7" w:rsidP="00FB47D7">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Efficiency Factor for FY 2010-11</w:t>
            </w:r>
          </w:p>
        </w:tc>
        <w:tc>
          <w:tcPr>
            <w:tcW w:w="1124" w:type="dxa"/>
            <w:tcBorders>
              <w:top w:val="nil"/>
              <w:left w:val="nil"/>
              <w:bottom w:val="single" w:sz="4" w:space="0" w:color="auto"/>
              <w:right w:val="single" w:sz="4" w:space="0" w:color="auto"/>
            </w:tcBorders>
            <w:shd w:val="clear" w:color="auto" w:fill="auto"/>
            <w:noWrap/>
            <w:vAlign w:val="center"/>
            <w:hideMark/>
          </w:tcPr>
          <w:p w:rsidR="00FB47D7" w:rsidRPr="00AE0294" w:rsidRDefault="00FB47D7" w:rsidP="00FB47D7">
            <w:pPr>
              <w:spacing w:after="0" w:line="240" w:lineRule="auto"/>
              <w:jc w:val="center"/>
              <w:rPr>
                <w:rFonts w:cstheme="minorHAnsi"/>
                <w:color w:val="000000"/>
                <w:sz w:val="24"/>
                <w:szCs w:val="24"/>
              </w:rPr>
            </w:pPr>
            <w:r w:rsidRPr="00AE0294">
              <w:rPr>
                <w:rFonts w:cstheme="minorHAnsi"/>
                <w:color w:val="000000"/>
                <w:sz w:val="24"/>
                <w:szCs w:val="24"/>
              </w:rPr>
              <w:t>11</w:t>
            </w:r>
          </w:p>
        </w:tc>
        <w:tc>
          <w:tcPr>
            <w:tcW w:w="1024" w:type="dxa"/>
            <w:tcBorders>
              <w:top w:val="nil"/>
              <w:left w:val="nil"/>
              <w:bottom w:val="single" w:sz="4" w:space="0" w:color="auto"/>
              <w:right w:val="single" w:sz="4" w:space="0" w:color="auto"/>
            </w:tcBorders>
            <w:shd w:val="clear" w:color="auto" w:fill="auto"/>
            <w:noWrap/>
            <w:vAlign w:val="center"/>
            <w:hideMark/>
          </w:tcPr>
          <w:p w:rsidR="00FB47D7" w:rsidRPr="00AE0294" w:rsidRDefault="00FB47D7" w:rsidP="00FB47D7">
            <w:pPr>
              <w:spacing w:after="0" w:line="240" w:lineRule="auto"/>
              <w:jc w:val="center"/>
              <w:rPr>
                <w:rFonts w:cstheme="minorHAnsi"/>
                <w:color w:val="000000"/>
                <w:sz w:val="24"/>
                <w:szCs w:val="24"/>
              </w:rPr>
            </w:pPr>
            <w:r w:rsidRPr="00AE0294">
              <w:rPr>
                <w:rFonts w:cstheme="minorHAnsi"/>
                <w:color w:val="000000"/>
                <w:sz w:val="24"/>
                <w:szCs w:val="24"/>
              </w:rPr>
              <w:t>39</w:t>
            </w:r>
          </w:p>
        </w:tc>
        <w:tc>
          <w:tcPr>
            <w:tcW w:w="960" w:type="dxa"/>
            <w:tcBorders>
              <w:top w:val="nil"/>
              <w:left w:val="nil"/>
              <w:bottom w:val="single" w:sz="4" w:space="0" w:color="auto"/>
              <w:right w:val="single" w:sz="4" w:space="0" w:color="auto"/>
            </w:tcBorders>
            <w:shd w:val="clear" w:color="auto" w:fill="auto"/>
            <w:noWrap/>
            <w:vAlign w:val="center"/>
            <w:hideMark/>
          </w:tcPr>
          <w:p w:rsidR="00FB47D7" w:rsidRPr="00AE0294" w:rsidRDefault="00FB47D7" w:rsidP="00FB47D7">
            <w:pPr>
              <w:spacing w:after="0" w:line="240" w:lineRule="auto"/>
              <w:jc w:val="center"/>
              <w:rPr>
                <w:rFonts w:cstheme="minorHAnsi"/>
                <w:color w:val="000000"/>
                <w:sz w:val="24"/>
                <w:szCs w:val="24"/>
              </w:rPr>
            </w:pPr>
            <w:r w:rsidRPr="00AE0294">
              <w:rPr>
                <w:rFonts w:cstheme="minorHAnsi"/>
                <w:color w:val="000000"/>
                <w:sz w:val="24"/>
                <w:szCs w:val="24"/>
              </w:rPr>
              <w:t>49</w:t>
            </w:r>
          </w:p>
        </w:tc>
      </w:tr>
      <w:tr w:rsidR="00FB47D7" w:rsidRPr="00AE0294" w:rsidTr="009141CD">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tcPr>
          <w:p w:rsidR="00FB47D7" w:rsidRPr="00AE0294" w:rsidRDefault="00FB47D7" w:rsidP="00FB47D7">
            <w:pPr>
              <w:pStyle w:val="ListParagraph"/>
              <w:widowControl/>
              <w:numPr>
                <w:ilvl w:val="0"/>
                <w:numId w:val="8"/>
              </w:numPr>
              <w:adjustRightInd/>
              <w:spacing w:line="240" w:lineRule="auto"/>
              <w:ind w:hanging="414"/>
              <w:jc w:val="left"/>
              <w:textAlignment w:val="auto"/>
              <w:rPr>
                <w:rFonts w:asciiTheme="minorHAnsi" w:hAnsiTheme="minorHAnsi" w:cstheme="minorHAnsi"/>
                <w:color w:val="000000"/>
                <w:lang w:eastAsia="en-IN"/>
              </w:rPr>
            </w:pPr>
          </w:p>
        </w:tc>
        <w:tc>
          <w:tcPr>
            <w:tcW w:w="4568" w:type="dxa"/>
            <w:tcBorders>
              <w:top w:val="nil"/>
              <w:left w:val="nil"/>
              <w:bottom w:val="single" w:sz="4" w:space="0" w:color="auto"/>
              <w:right w:val="single" w:sz="4" w:space="0" w:color="auto"/>
            </w:tcBorders>
            <w:shd w:val="clear" w:color="auto" w:fill="auto"/>
            <w:vAlign w:val="center"/>
            <w:hideMark/>
          </w:tcPr>
          <w:p w:rsidR="00FB47D7" w:rsidRPr="00AE0294" w:rsidRDefault="00FB47D7" w:rsidP="00FB47D7">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Financing Cost Of LPSC Based On SBI PLR for FY 2007-08 To Fy 2012-13</w:t>
            </w:r>
          </w:p>
        </w:tc>
        <w:tc>
          <w:tcPr>
            <w:tcW w:w="1124" w:type="dxa"/>
            <w:tcBorders>
              <w:top w:val="nil"/>
              <w:left w:val="nil"/>
              <w:bottom w:val="single" w:sz="4" w:space="0" w:color="auto"/>
              <w:right w:val="single" w:sz="4" w:space="0" w:color="auto"/>
            </w:tcBorders>
            <w:shd w:val="clear" w:color="auto" w:fill="auto"/>
            <w:noWrap/>
            <w:vAlign w:val="center"/>
            <w:hideMark/>
          </w:tcPr>
          <w:p w:rsidR="00FB47D7" w:rsidRPr="00AE0294" w:rsidRDefault="00FB47D7" w:rsidP="00FB47D7">
            <w:pPr>
              <w:spacing w:after="0" w:line="240" w:lineRule="auto"/>
              <w:jc w:val="center"/>
              <w:rPr>
                <w:rFonts w:cstheme="minorHAnsi"/>
                <w:color w:val="000000"/>
                <w:sz w:val="24"/>
                <w:szCs w:val="24"/>
              </w:rPr>
            </w:pPr>
            <w:r w:rsidRPr="00AE0294">
              <w:rPr>
                <w:rFonts w:cstheme="minorHAnsi"/>
                <w:color w:val="000000"/>
                <w:sz w:val="24"/>
                <w:szCs w:val="24"/>
              </w:rPr>
              <w:t>22</w:t>
            </w:r>
          </w:p>
        </w:tc>
        <w:tc>
          <w:tcPr>
            <w:tcW w:w="1024" w:type="dxa"/>
            <w:tcBorders>
              <w:top w:val="nil"/>
              <w:left w:val="nil"/>
              <w:bottom w:val="single" w:sz="4" w:space="0" w:color="auto"/>
              <w:right w:val="single" w:sz="4" w:space="0" w:color="auto"/>
            </w:tcBorders>
            <w:shd w:val="clear" w:color="auto" w:fill="auto"/>
            <w:noWrap/>
            <w:vAlign w:val="center"/>
            <w:hideMark/>
          </w:tcPr>
          <w:p w:rsidR="00FB47D7" w:rsidRPr="00AE0294" w:rsidRDefault="00FB47D7" w:rsidP="00FB47D7">
            <w:pPr>
              <w:spacing w:after="0" w:line="240" w:lineRule="auto"/>
              <w:jc w:val="center"/>
              <w:rPr>
                <w:rFonts w:cstheme="minorHAnsi"/>
                <w:color w:val="000000"/>
                <w:sz w:val="24"/>
                <w:szCs w:val="24"/>
              </w:rPr>
            </w:pPr>
            <w:r w:rsidRPr="00AE0294">
              <w:rPr>
                <w:rFonts w:cstheme="minorHAnsi"/>
                <w:color w:val="000000"/>
                <w:sz w:val="24"/>
                <w:szCs w:val="24"/>
              </w:rPr>
              <w:t>30</w:t>
            </w:r>
          </w:p>
        </w:tc>
        <w:tc>
          <w:tcPr>
            <w:tcW w:w="960" w:type="dxa"/>
            <w:tcBorders>
              <w:top w:val="nil"/>
              <w:left w:val="nil"/>
              <w:bottom w:val="single" w:sz="4" w:space="0" w:color="auto"/>
              <w:right w:val="single" w:sz="4" w:space="0" w:color="auto"/>
            </w:tcBorders>
            <w:shd w:val="clear" w:color="auto" w:fill="auto"/>
            <w:noWrap/>
            <w:vAlign w:val="center"/>
            <w:hideMark/>
          </w:tcPr>
          <w:p w:rsidR="00FB47D7" w:rsidRPr="00AE0294" w:rsidRDefault="00FB47D7" w:rsidP="00FB47D7">
            <w:pPr>
              <w:spacing w:after="0" w:line="240" w:lineRule="auto"/>
              <w:jc w:val="center"/>
              <w:rPr>
                <w:rFonts w:cstheme="minorHAnsi"/>
                <w:color w:val="000000"/>
                <w:sz w:val="24"/>
                <w:szCs w:val="24"/>
              </w:rPr>
            </w:pPr>
            <w:r w:rsidRPr="00AE0294">
              <w:rPr>
                <w:rFonts w:cstheme="minorHAnsi"/>
                <w:color w:val="000000"/>
                <w:sz w:val="24"/>
                <w:szCs w:val="24"/>
              </w:rPr>
              <w:t>52</w:t>
            </w:r>
          </w:p>
        </w:tc>
      </w:tr>
      <w:tr w:rsidR="00FB47D7" w:rsidRPr="00AE0294" w:rsidTr="009141CD">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tcPr>
          <w:p w:rsidR="00FB47D7" w:rsidRPr="00AE0294" w:rsidRDefault="00FB47D7" w:rsidP="00FB47D7">
            <w:pPr>
              <w:pStyle w:val="ListParagraph"/>
              <w:widowControl/>
              <w:numPr>
                <w:ilvl w:val="0"/>
                <w:numId w:val="8"/>
              </w:numPr>
              <w:adjustRightInd/>
              <w:spacing w:line="240" w:lineRule="auto"/>
              <w:ind w:hanging="414"/>
              <w:jc w:val="left"/>
              <w:textAlignment w:val="auto"/>
              <w:rPr>
                <w:rFonts w:asciiTheme="minorHAnsi" w:hAnsiTheme="minorHAnsi" w:cstheme="minorHAnsi"/>
                <w:color w:val="000000"/>
                <w:lang w:eastAsia="en-IN"/>
              </w:rPr>
            </w:pPr>
          </w:p>
        </w:tc>
        <w:tc>
          <w:tcPr>
            <w:tcW w:w="4568" w:type="dxa"/>
            <w:tcBorders>
              <w:top w:val="nil"/>
              <w:left w:val="nil"/>
              <w:bottom w:val="single" w:sz="4" w:space="0" w:color="auto"/>
              <w:right w:val="single" w:sz="4" w:space="0" w:color="auto"/>
            </w:tcBorders>
            <w:shd w:val="clear" w:color="auto" w:fill="auto"/>
            <w:vAlign w:val="center"/>
            <w:hideMark/>
          </w:tcPr>
          <w:p w:rsidR="00FB47D7" w:rsidRPr="00AE0294" w:rsidRDefault="00FB47D7" w:rsidP="00FB47D7">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KYC Expenses</w:t>
            </w:r>
          </w:p>
        </w:tc>
        <w:tc>
          <w:tcPr>
            <w:tcW w:w="1124" w:type="dxa"/>
            <w:tcBorders>
              <w:top w:val="nil"/>
              <w:left w:val="nil"/>
              <w:bottom w:val="single" w:sz="4" w:space="0" w:color="auto"/>
              <w:right w:val="single" w:sz="4" w:space="0" w:color="auto"/>
            </w:tcBorders>
            <w:shd w:val="clear" w:color="auto" w:fill="auto"/>
            <w:noWrap/>
            <w:vAlign w:val="center"/>
            <w:hideMark/>
          </w:tcPr>
          <w:p w:rsidR="00FB47D7" w:rsidRPr="00AE0294" w:rsidRDefault="00FB47D7" w:rsidP="00FB47D7">
            <w:pPr>
              <w:spacing w:after="0" w:line="240" w:lineRule="auto"/>
              <w:jc w:val="center"/>
              <w:rPr>
                <w:rFonts w:cstheme="minorHAnsi"/>
                <w:color w:val="000000"/>
                <w:sz w:val="24"/>
                <w:szCs w:val="24"/>
              </w:rPr>
            </w:pPr>
            <w:r w:rsidRPr="00AE0294">
              <w:rPr>
                <w:rFonts w:cstheme="minorHAnsi"/>
                <w:color w:val="000000"/>
                <w:sz w:val="24"/>
                <w:szCs w:val="24"/>
              </w:rPr>
              <w:t>3</w:t>
            </w:r>
          </w:p>
        </w:tc>
        <w:tc>
          <w:tcPr>
            <w:tcW w:w="1024" w:type="dxa"/>
            <w:tcBorders>
              <w:top w:val="nil"/>
              <w:left w:val="nil"/>
              <w:bottom w:val="single" w:sz="4" w:space="0" w:color="auto"/>
              <w:right w:val="single" w:sz="4" w:space="0" w:color="auto"/>
            </w:tcBorders>
            <w:shd w:val="clear" w:color="auto" w:fill="auto"/>
            <w:noWrap/>
            <w:vAlign w:val="center"/>
            <w:hideMark/>
          </w:tcPr>
          <w:p w:rsidR="00FB47D7" w:rsidRPr="00AE0294" w:rsidRDefault="00FB47D7" w:rsidP="00FB47D7">
            <w:pPr>
              <w:spacing w:after="0" w:line="240" w:lineRule="auto"/>
              <w:jc w:val="center"/>
              <w:rPr>
                <w:rFonts w:cstheme="minorHAnsi"/>
                <w:color w:val="000000"/>
                <w:sz w:val="24"/>
                <w:szCs w:val="24"/>
              </w:rPr>
            </w:pPr>
            <w:r w:rsidRPr="00AE0294">
              <w:rPr>
                <w:rFonts w:cstheme="minorHAnsi"/>
                <w:color w:val="000000"/>
                <w:sz w:val="24"/>
                <w:szCs w:val="24"/>
              </w:rPr>
              <w:t>1</w:t>
            </w:r>
          </w:p>
        </w:tc>
        <w:tc>
          <w:tcPr>
            <w:tcW w:w="960" w:type="dxa"/>
            <w:tcBorders>
              <w:top w:val="nil"/>
              <w:left w:val="nil"/>
              <w:bottom w:val="single" w:sz="4" w:space="0" w:color="auto"/>
              <w:right w:val="single" w:sz="4" w:space="0" w:color="auto"/>
            </w:tcBorders>
            <w:shd w:val="clear" w:color="auto" w:fill="auto"/>
            <w:noWrap/>
            <w:vAlign w:val="center"/>
            <w:hideMark/>
          </w:tcPr>
          <w:p w:rsidR="00FB47D7" w:rsidRPr="00AE0294" w:rsidRDefault="00FB47D7" w:rsidP="00FB47D7">
            <w:pPr>
              <w:spacing w:after="0" w:line="240" w:lineRule="auto"/>
              <w:jc w:val="center"/>
              <w:rPr>
                <w:rFonts w:cstheme="minorHAnsi"/>
                <w:color w:val="000000"/>
                <w:sz w:val="24"/>
                <w:szCs w:val="24"/>
              </w:rPr>
            </w:pPr>
            <w:r w:rsidRPr="00AE0294">
              <w:rPr>
                <w:rFonts w:cstheme="minorHAnsi"/>
                <w:color w:val="000000"/>
                <w:sz w:val="24"/>
                <w:szCs w:val="24"/>
              </w:rPr>
              <w:t>4</w:t>
            </w:r>
          </w:p>
        </w:tc>
      </w:tr>
      <w:tr w:rsidR="00FB47D7" w:rsidRPr="00AE0294" w:rsidTr="009141CD">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tcPr>
          <w:p w:rsidR="00FB47D7" w:rsidRPr="00AE0294" w:rsidRDefault="00FB47D7" w:rsidP="00FB47D7">
            <w:pPr>
              <w:pStyle w:val="ListParagraph"/>
              <w:widowControl/>
              <w:numPr>
                <w:ilvl w:val="0"/>
                <w:numId w:val="8"/>
              </w:numPr>
              <w:adjustRightInd/>
              <w:spacing w:line="240" w:lineRule="auto"/>
              <w:ind w:hanging="414"/>
              <w:jc w:val="left"/>
              <w:textAlignment w:val="auto"/>
              <w:rPr>
                <w:rFonts w:asciiTheme="minorHAnsi" w:hAnsiTheme="minorHAnsi" w:cstheme="minorHAnsi"/>
                <w:color w:val="000000"/>
                <w:lang w:eastAsia="en-IN"/>
              </w:rPr>
            </w:pPr>
          </w:p>
        </w:tc>
        <w:tc>
          <w:tcPr>
            <w:tcW w:w="4568" w:type="dxa"/>
            <w:tcBorders>
              <w:top w:val="nil"/>
              <w:left w:val="nil"/>
              <w:bottom w:val="single" w:sz="4" w:space="0" w:color="auto"/>
              <w:right w:val="single" w:sz="4" w:space="0" w:color="auto"/>
            </w:tcBorders>
            <w:shd w:val="clear" w:color="auto" w:fill="auto"/>
            <w:vAlign w:val="center"/>
            <w:hideMark/>
          </w:tcPr>
          <w:p w:rsidR="00FB47D7" w:rsidRPr="00AE0294" w:rsidRDefault="00FB47D7" w:rsidP="00FB47D7">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Non-Revision of AT&amp;C Loss for Second Control Period</w:t>
            </w:r>
          </w:p>
        </w:tc>
        <w:tc>
          <w:tcPr>
            <w:tcW w:w="1124" w:type="dxa"/>
            <w:tcBorders>
              <w:top w:val="nil"/>
              <w:left w:val="nil"/>
              <w:bottom w:val="single" w:sz="4" w:space="0" w:color="auto"/>
              <w:right w:val="single" w:sz="4" w:space="0" w:color="auto"/>
            </w:tcBorders>
            <w:shd w:val="clear" w:color="auto" w:fill="auto"/>
            <w:noWrap/>
            <w:vAlign w:val="center"/>
            <w:hideMark/>
          </w:tcPr>
          <w:p w:rsidR="00FB47D7" w:rsidRPr="00AE0294" w:rsidRDefault="00CA51BC" w:rsidP="00FB47D7">
            <w:pPr>
              <w:spacing w:after="0" w:line="240" w:lineRule="auto"/>
              <w:jc w:val="center"/>
              <w:rPr>
                <w:rFonts w:cstheme="minorHAnsi"/>
                <w:color w:val="000000"/>
                <w:sz w:val="24"/>
                <w:szCs w:val="24"/>
              </w:rPr>
            </w:pPr>
            <w:r>
              <w:rPr>
                <w:rFonts w:cstheme="minorHAnsi"/>
                <w:color w:val="000000"/>
                <w:sz w:val="24"/>
                <w:szCs w:val="24"/>
              </w:rPr>
              <w:t>334</w:t>
            </w:r>
          </w:p>
        </w:tc>
        <w:tc>
          <w:tcPr>
            <w:tcW w:w="1024" w:type="dxa"/>
            <w:tcBorders>
              <w:top w:val="nil"/>
              <w:left w:val="nil"/>
              <w:bottom w:val="single" w:sz="4" w:space="0" w:color="auto"/>
              <w:right w:val="single" w:sz="4" w:space="0" w:color="auto"/>
            </w:tcBorders>
            <w:shd w:val="clear" w:color="auto" w:fill="auto"/>
            <w:noWrap/>
            <w:vAlign w:val="center"/>
            <w:hideMark/>
          </w:tcPr>
          <w:p w:rsidR="00FB47D7" w:rsidRPr="00AE0294" w:rsidRDefault="00CA51BC" w:rsidP="00FB47D7">
            <w:pPr>
              <w:spacing w:after="0" w:line="240" w:lineRule="auto"/>
              <w:jc w:val="center"/>
              <w:rPr>
                <w:rFonts w:cstheme="minorHAnsi"/>
                <w:color w:val="000000"/>
                <w:sz w:val="24"/>
                <w:szCs w:val="24"/>
              </w:rPr>
            </w:pPr>
            <w:r>
              <w:rPr>
                <w:rFonts w:cstheme="minorHAnsi"/>
                <w:color w:val="000000"/>
                <w:sz w:val="24"/>
                <w:szCs w:val="24"/>
              </w:rPr>
              <w:t>567</w:t>
            </w:r>
          </w:p>
        </w:tc>
        <w:tc>
          <w:tcPr>
            <w:tcW w:w="960" w:type="dxa"/>
            <w:tcBorders>
              <w:top w:val="nil"/>
              <w:left w:val="nil"/>
              <w:bottom w:val="single" w:sz="4" w:space="0" w:color="auto"/>
              <w:right w:val="single" w:sz="4" w:space="0" w:color="auto"/>
            </w:tcBorders>
            <w:shd w:val="clear" w:color="auto" w:fill="auto"/>
            <w:noWrap/>
            <w:vAlign w:val="center"/>
            <w:hideMark/>
          </w:tcPr>
          <w:p w:rsidR="00FB47D7" w:rsidRPr="00AE0294" w:rsidRDefault="00CA51BC" w:rsidP="00FB47D7">
            <w:pPr>
              <w:spacing w:after="0" w:line="240" w:lineRule="auto"/>
              <w:jc w:val="center"/>
              <w:rPr>
                <w:rFonts w:cstheme="minorHAnsi"/>
                <w:color w:val="000000"/>
                <w:sz w:val="24"/>
                <w:szCs w:val="24"/>
              </w:rPr>
            </w:pPr>
            <w:r>
              <w:rPr>
                <w:rFonts w:cstheme="minorHAnsi"/>
                <w:color w:val="000000"/>
                <w:sz w:val="24"/>
                <w:szCs w:val="24"/>
              </w:rPr>
              <w:t>901</w:t>
            </w:r>
          </w:p>
        </w:tc>
      </w:tr>
      <w:tr w:rsidR="00FB47D7" w:rsidRPr="00AE0294" w:rsidTr="009141CD">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tcPr>
          <w:p w:rsidR="00FB47D7" w:rsidRPr="00AE0294" w:rsidRDefault="00FB47D7" w:rsidP="00FB47D7">
            <w:pPr>
              <w:pStyle w:val="ListParagraph"/>
              <w:widowControl/>
              <w:numPr>
                <w:ilvl w:val="0"/>
                <w:numId w:val="8"/>
              </w:numPr>
              <w:adjustRightInd/>
              <w:spacing w:line="240" w:lineRule="auto"/>
              <w:ind w:hanging="414"/>
              <w:jc w:val="left"/>
              <w:textAlignment w:val="auto"/>
              <w:rPr>
                <w:rFonts w:asciiTheme="minorHAnsi" w:hAnsiTheme="minorHAnsi" w:cstheme="minorHAnsi"/>
                <w:color w:val="000000"/>
                <w:lang w:eastAsia="en-IN"/>
              </w:rPr>
            </w:pPr>
          </w:p>
        </w:tc>
        <w:tc>
          <w:tcPr>
            <w:tcW w:w="4568" w:type="dxa"/>
            <w:tcBorders>
              <w:top w:val="nil"/>
              <w:left w:val="nil"/>
              <w:bottom w:val="single" w:sz="4" w:space="0" w:color="auto"/>
              <w:right w:val="single" w:sz="4" w:space="0" w:color="auto"/>
            </w:tcBorders>
            <w:shd w:val="clear" w:color="auto" w:fill="auto"/>
            <w:vAlign w:val="center"/>
            <w:hideMark/>
          </w:tcPr>
          <w:p w:rsidR="00FB47D7" w:rsidRPr="00AE0294" w:rsidRDefault="00FB47D7" w:rsidP="00FB47D7">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Rate of Interest on Long Term Loans for FY 2007-08 To FY 2016-17</w:t>
            </w:r>
          </w:p>
        </w:tc>
        <w:tc>
          <w:tcPr>
            <w:tcW w:w="112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B47D7" w:rsidRPr="00AE0294" w:rsidRDefault="00FB47D7" w:rsidP="00FB47D7">
            <w:pPr>
              <w:spacing w:after="0" w:line="240" w:lineRule="auto"/>
              <w:jc w:val="center"/>
              <w:rPr>
                <w:rFonts w:cstheme="minorHAnsi"/>
                <w:color w:val="000000"/>
                <w:sz w:val="24"/>
                <w:szCs w:val="24"/>
              </w:rPr>
            </w:pPr>
            <w:r w:rsidRPr="00AE0294">
              <w:rPr>
                <w:rFonts w:cstheme="minorHAnsi"/>
                <w:color w:val="000000"/>
                <w:sz w:val="24"/>
                <w:szCs w:val="24"/>
              </w:rPr>
              <w:t>390</w:t>
            </w:r>
          </w:p>
        </w:tc>
        <w:tc>
          <w:tcPr>
            <w:tcW w:w="102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B47D7" w:rsidRPr="00AE0294" w:rsidRDefault="00FB47D7" w:rsidP="00FB47D7">
            <w:pPr>
              <w:spacing w:after="0" w:line="240" w:lineRule="auto"/>
              <w:jc w:val="center"/>
              <w:rPr>
                <w:rFonts w:cstheme="minorHAnsi"/>
                <w:color w:val="000000"/>
                <w:sz w:val="24"/>
                <w:szCs w:val="24"/>
              </w:rPr>
            </w:pPr>
            <w:r w:rsidRPr="00AE0294">
              <w:rPr>
                <w:rFonts w:cstheme="minorHAnsi"/>
                <w:color w:val="000000"/>
                <w:sz w:val="24"/>
                <w:szCs w:val="24"/>
              </w:rPr>
              <w:t>233</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B47D7" w:rsidRPr="00AE0294" w:rsidRDefault="00FB47D7" w:rsidP="00FB47D7">
            <w:pPr>
              <w:spacing w:after="0" w:line="240" w:lineRule="auto"/>
              <w:jc w:val="center"/>
              <w:rPr>
                <w:rFonts w:cstheme="minorHAnsi"/>
                <w:color w:val="000000"/>
                <w:sz w:val="24"/>
                <w:szCs w:val="24"/>
              </w:rPr>
            </w:pPr>
            <w:r w:rsidRPr="00AE0294">
              <w:rPr>
                <w:rFonts w:cstheme="minorHAnsi"/>
                <w:color w:val="000000"/>
                <w:sz w:val="24"/>
                <w:szCs w:val="24"/>
              </w:rPr>
              <w:t>624</w:t>
            </w:r>
          </w:p>
        </w:tc>
      </w:tr>
      <w:tr w:rsidR="00FB47D7" w:rsidRPr="00AE0294" w:rsidTr="009141CD">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tcPr>
          <w:p w:rsidR="00FB47D7" w:rsidRPr="00AE0294" w:rsidRDefault="00FB47D7" w:rsidP="00FB47D7">
            <w:pPr>
              <w:pStyle w:val="ListParagraph"/>
              <w:widowControl/>
              <w:numPr>
                <w:ilvl w:val="0"/>
                <w:numId w:val="8"/>
              </w:numPr>
              <w:adjustRightInd/>
              <w:spacing w:line="240" w:lineRule="auto"/>
              <w:ind w:hanging="414"/>
              <w:jc w:val="left"/>
              <w:textAlignment w:val="auto"/>
              <w:rPr>
                <w:rFonts w:asciiTheme="minorHAnsi" w:hAnsiTheme="minorHAnsi" w:cstheme="minorHAnsi"/>
                <w:color w:val="000000"/>
                <w:lang w:eastAsia="en-IN"/>
              </w:rPr>
            </w:pPr>
          </w:p>
        </w:tc>
        <w:tc>
          <w:tcPr>
            <w:tcW w:w="4568" w:type="dxa"/>
            <w:tcBorders>
              <w:top w:val="nil"/>
              <w:left w:val="nil"/>
              <w:bottom w:val="single" w:sz="4" w:space="0" w:color="auto"/>
              <w:right w:val="single" w:sz="4" w:space="0" w:color="auto"/>
            </w:tcBorders>
            <w:shd w:val="clear" w:color="auto" w:fill="auto"/>
            <w:vAlign w:val="center"/>
            <w:hideMark/>
          </w:tcPr>
          <w:p w:rsidR="00FB47D7" w:rsidRPr="00AE0294" w:rsidRDefault="00FB47D7" w:rsidP="00FB47D7">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Repayment of Loans not Considered While Computing WACC</w:t>
            </w:r>
          </w:p>
        </w:tc>
        <w:tc>
          <w:tcPr>
            <w:tcW w:w="1124" w:type="dxa"/>
            <w:vMerge/>
            <w:tcBorders>
              <w:top w:val="nil"/>
              <w:left w:val="single" w:sz="4" w:space="0" w:color="auto"/>
              <w:bottom w:val="single" w:sz="4" w:space="0" w:color="000000"/>
              <w:right w:val="single" w:sz="4" w:space="0" w:color="auto"/>
            </w:tcBorders>
            <w:vAlign w:val="center"/>
            <w:hideMark/>
          </w:tcPr>
          <w:p w:rsidR="00FB47D7" w:rsidRPr="00AE0294" w:rsidRDefault="00FB47D7" w:rsidP="00FB47D7">
            <w:pPr>
              <w:spacing w:after="0" w:line="240" w:lineRule="auto"/>
              <w:rPr>
                <w:rFonts w:eastAsia="Times New Roman" w:cstheme="minorHAnsi"/>
                <w:color w:val="000000"/>
                <w:sz w:val="24"/>
                <w:szCs w:val="24"/>
                <w:lang w:eastAsia="en-IN"/>
              </w:rPr>
            </w:pPr>
          </w:p>
        </w:tc>
        <w:tc>
          <w:tcPr>
            <w:tcW w:w="1024" w:type="dxa"/>
            <w:vMerge/>
            <w:tcBorders>
              <w:top w:val="nil"/>
              <w:left w:val="single" w:sz="4" w:space="0" w:color="auto"/>
              <w:bottom w:val="single" w:sz="4" w:space="0" w:color="000000"/>
              <w:right w:val="single" w:sz="4" w:space="0" w:color="auto"/>
            </w:tcBorders>
            <w:vAlign w:val="center"/>
            <w:hideMark/>
          </w:tcPr>
          <w:p w:rsidR="00FB47D7" w:rsidRPr="00AE0294" w:rsidRDefault="00FB47D7" w:rsidP="00FB47D7">
            <w:pPr>
              <w:spacing w:after="0" w:line="240" w:lineRule="auto"/>
              <w:rPr>
                <w:rFonts w:eastAsia="Times New Roman" w:cstheme="minorHAnsi"/>
                <w:color w:val="000000"/>
                <w:sz w:val="24"/>
                <w:szCs w:val="24"/>
                <w:lang w:eastAsia="en-IN"/>
              </w:rPr>
            </w:pPr>
          </w:p>
        </w:tc>
        <w:tc>
          <w:tcPr>
            <w:tcW w:w="960" w:type="dxa"/>
            <w:vMerge/>
            <w:tcBorders>
              <w:top w:val="nil"/>
              <w:left w:val="single" w:sz="4" w:space="0" w:color="auto"/>
              <w:bottom w:val="single" w:sz="4" w:space="0" w:color="000000"/>
              <w:right w:val="single" w:sz="4" w:space="0" w:color="auto"/>
            </w:tcBorders>
            <w:vAlign w:val="center"/>
            <w:hideMark/>
          </w:tcPr>
          <w:p w:rsidR="00FB47D7" w:rsidRPr="00AE0294" w:rsidRDefault="00FB47D7" w:rsidP="00FB47D7">
            <w:pPr>
              <w:spacing w:after="0" w:line="240" w:lineRule="auto"/>
              <w:rPr>
                <w:rFonts w:eastAsia="Times New Roman" w:cstheme="minorHAnsi"/>
                <w:color w:val="000000"/>
                <w:sz w:val="24"/>
                <w:szCs w:val="24"/>
                <w:lang w:eastAsia="en-IN"/>
              </w:rPr>
            </w:pPr>
          </w:p>
        </w:tc>
      </w:tr>
      <w:tr w:rsidR="00FB47D7" w:rsidRPr="00AE0294" w:rsidTr="009141CD">
        <w:trPr>
          <w:trHeight w:val="660"/>
        </w:trPr>
        <w:tc>
          <w:tcPr>
            <w:tcW w:w="960" w:type="dxa"/>
            <w:tcBorders>
              <w:top w:val="nil"/>
              <w:left w:val="single" w:sz="4" w:space="0" w:color="auto"/>
              <w:bottom w:val="single" w:sz="4" w:space="0" w:color="auto"/>
              <w:right w:val="single" w:sz="4" w:space="0" w:color="auto"/>
            </w:tcBorders>
            <w:shd w:val="clear" w:color="auto" w:fill="auto"/>
            <w:noWrap/>
            <w:vAlign w:val="center"/>
          </w:tcPr>
          <w:p w:rsidR="00FB47D7" w:rsidRPr="00AE0294" w:rsidRDefault="00FB47D7" w:rsidP="00FB47D7">
            <w:pPr>
              <w:pStyle w:val="ListParagraph"/>
              <w:widowControl/>
              <w:numPr>
                <w:ilvl w:val="0"/>
                <w:numId w:val="8"/>
              </w:numPr>
              <w:adjustRightInd/>
              <w:spacing w:line="240" w:lineRule="auto"/>
              <w:ind w:hanging="414"/>
              <w:jc w:val="left"/>
              <w:textAlignment w:val="auto"/>
              <w:rPr>
                <w:rFonts w:asciiTheme="minorHAnsi" w:hAnsiTheme="minorHAnsi" w:cstheme="minorHAnsi"/>
                <w:color w:val="000000"/>
                <w:lang w:eastAsia="en-IN"/>
              </w:rPr>
            </w:pPr>
          </w:p>
        </w:tc>
        <w:tc>
          <w:tcPr>
            <w:tcW w:w="4568" w:type="dxa"/>
            <w:tcBorders>
              <w:top w:val="nil"/>
              <w:left w:val="nil"/>
              <w:bottom w:val="single" w:sz="4" w:space="0" w:color="auto"/>
              <w:right w:val="single" w:sz="4" w:space="0" w:color="auto"/>
            </w:tcBorders>
            <w:shd w:val="clear" w:color="auto" w:fill="auto"/>
            <w:vAlign w:val="center"/>
            <w:hideMark/>
          </w:tcPr>
          <w:p w:rsidR="00FB47D7" w:rsidRPr="00AE0294" w:rsidRDefault="00FB47D7" w:rsidP="00FB47D7">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Service Tax - FY 11-12 To FY 16-17</w:t>
            </w:r>
          </w:p>
        </w:tc>
        <w:tc>
          <w:tcPr>
            <w:tcW w:w="1124" w:type="dxa"/>
            <w:tcBorders>
              <w:top w:val="nil"/>
              <w:left w:val="nil"/>
              <w:bottom w:val="single" w:sz="4" w:space="0" w:color="auto"/>
              <w:right w:val="single" w:sz="4" w:space="0" w:color="auto"/>
            </w:tcBorders>
            <w:shd w:val="clear" w:color="auto" w:fill="auto"/>
            <w:noWrap/>
            <w:vAlign w:val="center"/>
            <w:hideMark/>
          </w:tcPr>
          <w:p w:rsidR="00FB47D7" w:rsidRPr="00AE0294" w:rsidRDefault="00FB47D7" w:rsidP="00FB47D7">
            <w:pPr>
              <w:spacing w:after="0" w:line="240" w:lineRule="auto"/>
              <w:jc w:val="center"/>
              <w:rPr>
                <w:rFonts w:cstheme="minorHAnsi"/>
                <w:color w:val="000000"/>
                <w:sz w:val="24"/>
                <w:szCs w:val="24"/>
              </w:rPr>
            </w:pPr>
            <w:r w:rsidRPr="00AE0294">
              <w:rPr>
                <w:rFonts w:cstheme="minorHAnsi"/>
                <w:color w:val="000000"/>
                <w:sz w:val="24"/>
                <w:szCs w:val="24"/>
              </w:rPr>
              <w:t>40</w:t>
            </w:r>
          </w:p>
        </w:tc>
        <w:tc>
          <w:tcPr>
            <w:tcW w:w="1024" w:type="dxa"/>
            <w:tcBorders>
              <w:top w:val="nil"/>
              <w:left w:val="nil"/>
              <w:bottom w:val="single" w:sz="4" w:space="0" w:color="auto"/>
              <w:right w:val="single" w:sz="4" w:space="0" w:color="auto"/>
            </w:tcBorders>
            <w:shd w:val="clear" w:color="auto" w:fill="auto"/>
            <w:noWrap/>
            <w:vAlign w:val="center"/>
            <w:hideMark/>
          </w:tcPr>
          <w:p w:rsidR="00FB47D7" w:rsidRPr="00AE0294" w:rsidRDefault="00FB47D7" w:rsidP="00FB47D7">
            <w:pPr>
              <w:spacing w:after="0" w:line="240" w:lineRule="auto"/>
              <w:jc w:val="center"/>
              <w:rPr>
                <w:rFonts w:cstheme="minorHAnsi"/>
                <w:color w:val="000000"/>
                <w:sz w:val="24"/>
                <w:szCs w:val="24"/>
              </w:rPr>
            </w:pPr>
            <w:r w:rsidRPr="00AE0294">
              <w:rPr>
                <w:rFonts w:cstheme="minorHAnsi"/>
                <w:color w:val="000000"/>
                <w:sz w:val="24"/>
                <w:szCs w:val="24"/>
              </w:rPr>
              <w:t>57</w:t>
            </w:r>
          </w:p>
        </w:tc>
        <w:tc>
          <w:tcPr>
            <w:tcW w:w="960" w:type="dxa"/>
            <w:tcBorders>
              <w:top w:val="nil"/>
              <w:left w:val="nil"/>
              <w:bottom w:val="single" w:sz="4" w:space="0" w:color="auto"/>
              <w:right w:val="single" w:sz="4" w:space="0" w:color="auto"/>
            </w:tcBorders>
            <w:shd w:val="clear" w:color="auto" w:fill="auto"/>
            <w:noWrap/>
            <w:vAlign w:val="center"/>
            <w:hideMark/>
          </w:tcPr>
          <w:p w:rsidR="00FB47D7" w:rsidRPr="00AE0294" w:rsidRDefault="00FB47D7" w:rsidP="00FB47D7">
            <w:pPr>
              <w:spacing w:after="0" w:line="240" w:lineRule="auto"/>
              <w:jc w:val="center"/>
              <w:rPr>
                <w:rFonts w:cstheme="minorHAnsi"/>
                <w:color w:val="000000"/>
                <w:sz w:val="24"/>
                <w:szCs w:val="24"/>
              </w:rPr>
            </w:pPr>
            <w:r w:rsidRPr="00AE0294">
              <w:rPr>
                <w:rFonts w:cstheme="minorHAnsi"/>
                <w:color w:val="000000"/>
                <w:sz w:val="24"/>
                <w:szCs w:val="24"/>
              </w:rPr>
              <w:t>98</w:t>
            </w:r>
          </w:p>
        </w:tc>
      </w:tr>
      <w:tr w:rsidR="00FB47D7" w:rsidRPr="00AE0294" w:rsidTr="009141CD">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tcPr>
          <w:p w:rsidR="00FB47D7" w:rsidRPr="00AE0294" w:rsidRDefault="00FB47D7" w:rsidP="00FB47D7">
            <w:pPr>
              <w:pStyle w:val="ListParagraph"/>
              <w:widowControl/>
              <w:numPr>
                <w:ilvl w:val="0"/>
                <w:numId w:val="8"/>
              </w:numPr>
              <w:adjustRightInd/>
              <w:spacing w:line="240" w:lineRule="auto"/>
              <w:ind w:hanging="414"/>
              <w:jc w:val="left"/>
              <w:textAlignment w:val="auto"/>
              <w:rPr>
                <w:rFonts w:asciiTheme="minorHAnsi" w:hAnsiTheme="minorHAnsi" w:cstheme="minorHAnsi"/>
                <w:color w:val="000000"/>
                <w:lang w:eastAsia="en-IN"/>
              </w:rPr>
            </w:pPr>
          </w:p>
        </w:tc>
        <w:tc>
          <w:tcPr>
            <w:tcW w:w="4568" w:type="dxa"/>
            <w:tcBorders>
              <w:top w:val="nil"/>
              <w:left w:val="nil"/>
              <w:bottom w:val="single" w:sz="4" w:space="0" w:color="auto"/>
              <w:right w:val="single" w:sz="4" w:space="0" w:color="auto"/>
            </w:tcBorders>
            <w:shd w:val="clear" w:color="auto" w:fill="auto"/>
            <w:vAlign w:val="center"/>
            <w:hideMark/>
          </w:tcPr>
          <w:p w:rsidR="00FB47D7" w:rsidRPr="00AE0294" w:rsidRDefault="00FB47D7" w:rsidP="00FB47D7">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 xml:space="preserve">SMS Charges </w:t>
            </w:r>
          </w:p>
        </w:tc>
        <w:tc>
          <w:tcPr>
            <w:tcW w:w="1124" w:type="dxa"/>
            <w:tcBorders>
              <w:top w:val="nil"/>
              <w:left w:val="nil"/>
              <w:bottom w:val="single" w:sz="4" w:space="0" w:color="auto"/>
              <w:right w:val="single" w:sz="4" w:space="0" w:color="auto"/>
            </w:tcBorders>
            <w:shd w:val="clear" w:color="auto" w:fill="auto"/>
            <w:noWrap/>
            <w:vAlign w:val="center"/>
            <w:hideMark/>
          </w:tcPr>
          <w:p w:rsidR="00FB47D7" w:rsidRPr="00AE0294" w:rsidRDefault="00FB47D7" w:rsidP="00FB47D7">
            <w:pPr>
              <w:spacing w:after="0" w:line="240" w:lineRule="auto"/>
              <w:jc w:val="center"/>
              <w:rPr>
                <w:rFonts w:cstheme="minorHAnsi"/>
                <w:color w:val="000000"/>
                <w:sz w:val="24"/>
                <w:szCs w:val="24"/>
              </w:rPr>
            </w:pPr>
            <w:r w:rsidRPr="00AE0294">
              <w:rPr>
                <w:rFonts w:cstheme="minorHAnsi"/>
                <w:color w:val="000000"/>
                <w:sz w:val="24"/>
                <w:szCs w:val="24"/>
              </w:rPr>
              <w:t>2</w:t>
            </w:r>
          </w:p>
        </w:tc>
        <w:tc>
          <w:tcPr>
            <w:tcW w:w="1024" w:type="dxa"/>
            <w:tcBorders>
              <w:top w:val="nil"/>
              <w:left w:val="nil"/>
              <w:bottom w:val="single" w:sz="4" w:space="0" w:color="auto"/>
              <w:right w:val="single" w:sz="4" w:space="0" w:color="auto"/>
            </w:tcBorders>
            <w:shd w:val="clear" w:color="auto" w:fill="auto"/>
            <w:noWrap/>
            <w:vAlign w:val="center"/>
            <w:hideMark/>
          </w:tcPr>
          <w:p w:rsidR="00FB47D7" w:rsidRPr="00AE0294" w:rsidRDefault="00FB47D7" w:rsidP="00FB47D7">
            <w:pPr>
              <w:spacing w:after="0" w:line="240" w:lineRule="auto"/>
              <w:jc w:val="center"/>
              <w:rPr>
                <w:rFonts w:cstheme="minorHAnsi"/>
                <w:color w:val="000000"/>
                <w:sz w:val="24"/>
                <w:szCs w:val="24"/>
              </w:rPr>
            </w:pPr>
            <w:r w:rsidRPr="00AE0294">
              <w:rPr>
                <w:rFonts w:cstheme="minorHAnsi"/>
                <w:color w:val="000000"/>
                <w:sz w:val="24"/>
                <w:szCs w:val="24"/>
              </w:rPr>
              <w:t>1</w:t>
            </w:r>
          </w:p>
        </w:tc>
        <w:tc>
          <w:tcPr>
            <w:tcW w:w="960" w:type="dxa"/>
            <w:tcBorders>
              <w:top w:val="nil"/>
              <w:left w:val="nil"/>
              <w:bottom w:val="single" w:sz="4" w:space="0" w:color="auto"/>
              <w:right w:val="single" w:sz="4" w:space="0" w:color="auto"/>
            </w:tcBorders>
            <w:shd w:val="clear" w:color="auto" w:fill="auto"/>
            <w:noWrap/>
            <w:vAlign w:val="center"/>
            <w:hideMark/>
          </w:tcPr>
          <w:p w:rsidR="00FB47D7" w:rsidRPr="00AE0294" w:rsidRDefault="00FB47D7" w:rsidP="00FB47D7">
            <w:pPr>
              <w:spacing w:after="0" w:line="240" w:lineRule="auto"/>
              <w:jc w:val="center"/>
              <w:rPr>
                <w:rFonts w:cstheme="minorHAnsi"/>
                <w:color w:val="000000"/>
                <w:sz w:val="24"/>
                <w:szCs w:val="24"/>
              </w:rPr>
            </w:pPr>
            <w:r w:rsidRPr="00AE0294">
              <w:rPr>
                <w:rFonts w:cstheme="minorHAnsi"/>
                <w:color w:val="000000"/>
                <w:sz w:val="24"/>
                <w:szCs w:val="24"/>
              </w:rPr>
              <w:t>3</w:t>
            </w:r>
          </w:p>
        </w:tc>
      </w:tr>
      <w:tr w:rsidR="00FB47D7" w:rsidRPr="00AE0294" w:rsidTr="009141CD">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tcPr>
          <w:p w:rsidR="00FB47D7" w:rsidRPr="00AE0294" w:rsidRDefault="00FB47D7" w:rsidP="00FB47D7">
            <w:pPr>
              <w:pStyle w:val="ListParagraph"/>
              <w:widowControl/>
              <w:numPr>
                <w:ilvl w:val="0"/>
                <w:numId w:val="8"/>
              </w:numPr>
              <w:adjustRightInd/>
              <w:spacing w:line="240" w:lineRule="auto"/>
              <w:ind w:hanging="414"/>
              <w:jc w:val="left"/>
              <w:textAlignment w:val="auto"/>
              <w:rPr>
                <w:rFonts w:asciiTheme="minorHAnsi" w:hAnsiTheme="minorHAnsi" w:cstheme="minorHAnsi"/>
                <w:color w:val="000000"/>
                <w:lang w:eastAsia="en-IN"/>
              </w:rPr>
            </w:pPr>
          </w:p>
        </w:tc>
        <w:tc>
          <w:tcPr>
            <w:tcW w:w="4568" w:type="dxa"/>
            <w:tcBorders>
              <w:top w:val="nil"/>
              <w:left w:val="nil"/>
              <w:bottom w:val="single" w:sz="4" w:space="0" w:color="auto"/>
              <w:right w:val="single" w:sz="4" w:space="0" w:color="auto"/>
            </w:tcBorders>
            <w:shd w:val="clear" w:color="auto" w:fill="auto"/>
            <w:vAlign w:val="center"/>
            <w:hideMark/>
          </w:tcPr>
          <w:p w:rsidR="00FB47D7" w:rsidRPr="00AE0294" w:rsidRDefault="00FB47D7" w:rsidP="00FB47D7">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Incorrect Revision of R&amp;M Expenses by Revising “K” Factor</w:t>
            </w:r>
          </w:p>
        </w:tc>
        <w:tc>
          <w:tcPr>
            <w:tcW w:w="1124" w:type="dxa"/>
            <w:tcBorders>
              <w:top w:val="nil"/>
              <w:left w:val="nil"/>
              <w:bottom w:val="single" w:sz="4" w:space="0" w:color="auto"/>
              <w:right w:val="single" w:sz="4" w:space="0" w:color="auto"/>
            </w:tcBorders>
            <w:shd w:val="clear" w:color="auto" w:fill="auto"/>
            <w:noWrap/>
            <w:vAlign w:val="center"/>
            <w:hideMark/>
          </w:tcPr>
          <w:p w:rsidR="00FB47D7" w:rsidRPr="00AE0294" w:rsidRDefault="00FB47D7" w:rsidP="00FB47D7">
            <w:pPr>
              <w:spacing w:after="0" w:line="240" w:lineRule="auto"/>
              <w:jc w:val="center"/>
              <w:rPr>
                <w:rFonts w:cstheme="minorHAnsi"/>
                <w:color w:val="000000"/>
                <w:sz w:val="24"/>
                <w:szCs w:val="24"/>
              </w:rPr>
            </w:pPr>
            <w:r w:rsidRPr="00AE0294">
              <w:rPr>
                <w:rFonts w:cstheme="minorHAnsi"/>
                <w:color w:val="000000"/>
                <w:sz w:val="24"/>
                <w:szCs w:val="24"/>
              </w:rPr>
              <w:t>20</w:t>
            </w:r>
          </w:p>
        </w:tc>
        <w:tc>
          <w:tcPr>
            <w:tcW w:w="1024" w:type="dxa"/>
            <w:tcBorders>
              <w:top w:val="nil"/>
              <w:left w:val="nil"/>
              <w:bottom w:val="single" w:sz="4" w:space="0" w:color="auto"/>
              <w:right w:val="nil"/>
            </w:tcBorders>
            <w:shd w:val="clear" w:color="auto" w:fill="auto"/>
            <w:noWrap/>
            <w:vAlign w:val="center"/>
            <w:hideMark/>
          </w:tcPr>
          <w:p w:rsidR="00FB47D7" w:rsidRPr="00AE0294" w:rsidRDefault="00FB47D7" w:rsidP="00FB47D7">
            <w:pPr>
              <w:spacing w:after="0" w:line="240" w:lineRule="auto"/>
              <w:jc w:val="center"/>
              <w:rPr>
                <w:rFonts w:cstheme="minorHAnsi"/>
                <w:color w:val="000000"/>
                <w:sz w:val="24"/>
                <w:szCs w:val="24"/>
              </w:rPr>
            </w:pPr>
            <w:r w:rsidRPr="00AE0294">
              <w:rPr>
                <w:rFonts w:cstheme="minorHAnsi"/>
                <w:color w:val="000000"/>
                <w:sz w:val="24"/>
                <w:szCs w:val="24"/>
              </w:rPr>
              <w:t>37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B47D7" w:rsidRPr="00AE0294" w:rsidRDefault="00FB47D7" w:rsidP="00FB47D7">
            <w:pPr>
              <w:spacing w:after="0" w:line="240" w:lineRule="auto"/>
              <w:jc w:val="center"/>
              <w:rPr>
                <w:rFonts w:cstheme="minorHAnsi"/>
                <w:color w:val="000000"/>
                <w:sz w:val="24"/>
                <w:szCs w:val="24"/>
              </w:rPr>
            </w:pPr>
            <w:r w:rsidRPr="00AE0294">
              <w:rPr>
                <w:rFonts w:cstheme="minorHAnsi"/>
                <w:color w:val="000000"/>
                <w:sz w:val="24"/>
                <w:szCs w:val="24"/>
              </w:rPr>
              <w:t>58</w:t>
            </w:r>
          </w:p>
        </w:tc>
      </w:tr>
      <w:tr w:rsidR="009141CD" w:rsidRPr="00AE0294" w:rsidTr="009141CD">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tcPr>
          <w:p w:rsidR="009141CD" w:rsidRPr="00AE0294" w:rsidRDefault="009141CD" w:rsidP="00FB47D7">
            <w:pPr>
              <w:pStyle w:val="ListParagraph"/>
              <w:widowControl/>
              <w:numPr>
                <w:ilvl w:val="0"/>
                <w:numId w:val="8"/>
              </w:numPr>
              <w:adjustRightInd/>
              <w:spacing w:line="240" w:lineRule="auto"/>
              <w:ind w:hanging="414"/>
              <w:jc w:val="left"/>
              <w:textAlignment w:val="auto"/>
              <w:rPr>
                <w:rFonts w:asciiTheme="minorHAnsi" w:hAnsiTheme="minorHAnsi" w:cstheme="minorHAnsi"/>
                <w:color w:val="000000"/>
                <w:lang w:eastAsia="en-IN"/>
              </w:rPr>
            </w:pPr>
          </w:p>
        </w:tc>
        <w:tc>
          <w:tcPr>
            <w:tcW w:w="4568" w:type="dxa"/>
            <w:tcBorders>
              <w:top w:val="nil"/>
              <w:left w:val="nil"/>
              <w:bottom w:val="single" w:sz="4" w:space="0" w:color="auto"/>
              <w:right w:val="single" w:sz="4" w:space="0" w:color="auto"/>
            </w:tcBorders>
            <w:shd w:val="clear" w:color="auto" w:fill="auto"/>
            <w:vAlign w:val="center"/>
          </w:tcPr>
          <w:p w:rsidR="009141CD" w:rsidRPr="00AE0294" w:rsidRDefault="009141CD" w:rsidP="00FB47D7">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Rate of Interest of Working Capital to be allowed on SBI PLR For Calculation of WACC</w:t>
            </w:r>
          </w:p>
        </w:tc>
        <w:tc>
          <w:tcPr>
            <w:tcW w:w="3108" w:type="dxa"/>
            <w:gridSpan w:val="3"/>
            <w:vMerge w:val="restart"/>
            <w:tcBorders>
              <w:top w:val="nil"/>
              <w:left w:val="nil"/>
              <w:right w:val="single" w:sz="4" w:space="0" w:color="auto"/>
            </w:tcBorders>
            <w:shd w:val="clear" w:color="auto" w:fill="auto"/>
            <w:noWrap/>
            <w:vAlign w:val="center"/>
          </w:tcPr>
          <w:p w:rsidR="009141CD" w:rsidRPr="00AE0294" w:rsidRDefault="009141CD" w:rsidP="00FB47D7">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 xml:space="preserve">Included in claim of </w:t>
            </w:r>
          </w:p>
          <w:p w:rsidR="009141CD" w:rsidRPr="00AE0294" w:rsidRDefault="009141CD" w:rsidP="00FB47D7">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 xml:space="preserve">Category </w:t>
            </w:r>
            <w:r w:rsidR="00BA0F1F" w:rsidRPr="00AE0294">
              <w:rPr>
                <w:rFonts w:eastAsia="Times New Roman" w:cstheme="minorHAnsi"/>
                <w:color w:val="000000"/>
                <w:sz w:val="24"/>
                <w:szCs w:val="24"/>
                <w:lang w:eastAsia="en-IN"/>
              </w:rPr>
              <w:t>- 1A</w:t>
            </w:r>
            <w:r w:rsidRPr="00AE0294">
              <w:rPr>
                <w:rFonts w:eastAsia="Times New Roman" w:cstheme="minorHAnsi"/>
                <w:color w:val="000000"/>
                <w:sz w:val="24"/>
                <w:szCs w:val="24"/>
                <w:lang w:eastAsia="en-IN"/>
              </w:rPr>
              <w:t xml:space="preserve">(i) </w:t>
            </w:r>
          </w:p>
        </w:tc>
      </w:tr>
      <w:tr w:rsidR="009141CD" w:rsidRPr="00AE0294" w:rsidTr="009141CD">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tcPr>
          <w:p w:rsidR="009141CD" w:rsidRPr="00AE0294" w:rsidRDefault="009141CD" w:rsidP="00FB47D7">
            <w:pPr>
              <w:pStyle w:val="ListParagraph"/>
              <w:widowControl/>
              <w:numPr>
                <w:ilvl w:val="0"/>
                <w:numId w:val="8"/>
              </w:numPr>
              <w:adjustRightInd/>
              <w:spacing w:line="240" w:lineRule="auto"/>
              <w:ind w:hanging="414"/>
              <w:jc w:val="left"/>
              <w:textAlignment w:val="auto"/>
              <w:rPr>
                <w:rFonts w:asciiTheme="minorHAnsi" w:hAnsiTheme="minorHAnsi" w:cstheme="minorHAnsi"/>
                <w:color w:val="000000"/>
                <w:lang w:eastAsia="en-IN"/>
              </w:rPr>
            </w:pPr>
          </w:p>
        </w:tc>
        <w:tc>
          <w:tcPr>
            <w:tcW w:w="4568" w:type="dxa"/>
            <w:tcBorders>
              <w:top w:val="nil"/>
              <w:left w:val="nil"/>
              <w:bottom w:val="single" w:sz="4" w:space="0" w:color="auto"/>
              <w:right w:val="single" w:sz="4" w:space="0" w:color="auto"/>
            </w:tcBorders>
            <w:shd w:val="clear" w:color="auto" w:fill="auto"/>
            <w:vAlign w:val="center"/>
          </w:tcPr>
          <w:p w:rsidR="009141CD" w:rsidRPr="00AE0294" w:rsidRDefault="009141CD" w:rsidP="00FB47D7">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Non-Correction of Errors (in RoCE)</w:t>
            </w:r>
          </w:p>
        </w:tc>
        <w:tc>
          <w:tcPr>
            <w:tcW w:w="3108" w:type="dxa"/>
            <w:gridSpan w:val="3"/>
            <w:vMerge/>
            <w:tcBorders>
              <w:left w:val="nil"/>
              <w:bottom w:val="single" w:sz="4" w:space="0" w:color="auto"/>
              <w:right w:val="single" w:sz="4" w:space="0" w:color="auto"/>
            </w:tcBorders>
            <w:shd w:val="clear" w:color="auto" w:fill="auto"/>
            <w:noWrap/>
            <w:vAlign w:val="center"/>
          </w:tcPr>
          <w:p w:rsidR="009141CD" w:rsidRPr="00AE0294" w:rsidRDefault="009141CD" w:rsidP="00FB47D7">
            <w:pPr>
              <w:spacing w:after="0" w:line="240" w:lineRule="auto"/>
              <w:jc w:val="center"/>
              <w:rPr>
                <w:rFonts w:eastAsia="Times New Roman" w:cstheme="minorHAnsi"/>
                <w:color w:val="000000"/>
                <w:sz w:val="24"/>
                <w:szCs w:val="24"/>
                <w:lang w:eastAsia="en-IN"/>
              </w:rPr>
            </w:pPr>
          </w:p>
        </w:tc>
      </w:tr>
      <w:tr w:rsidR="00FB47D7" w:rsidRPr="00AE0294" w:rsidTr="009141CD">
        <w:trPr>
          <w:trHeight w:val="33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B47D7" w:rsidRPr="00AE0294" w:rsidRDefault="00FB47D7" w:rsidP="00FB47D7">
            <w:pPr>
              <w:spacing w:after="0" w:line="240" w:lineRule="auto"/>
              <w:jc w:val="center"/>
              <w:rPr>
                <w:rFonts w:eastAsia="Times New Roman" w:cstheme="minorHAnsi"/>
                <w:color w:val="000000"/>
                <w:sz w:val="24"/>
                <w:szCs w:val="24"/>
                <w:lang w:eastAsia="en-IN"/>
              </w:rPr>
            </w:pPr>
          </w:p>
        </w:tc>
        <w:tc>
          <w:tcPr>
            <w:tcW w:w="4568" w:type="dxa"/>
            <w:tcBorders>
              <w:top w:val="nil"/>
              <w:left w:val="nil"/>
              <w:bottom w:val="single" w:sz="4" w:space="0" w:color="auto"/>
              <w:right w:val="single" w:sz="4" w:space="0" w:color="auto"/>
            </w:tcBorders>
            <w:shd w:val="clear" w:color="auto" w:fill="auto"/>
            <w:vAlign w:val="center"/>
            <w:hideMark/>
          </w:tcPr>
          <w:p w:rsidR="00FB47D7" w:rsidRPr="00AE0294" w:rsidRDefault="00FB47D7" w:rsidP="00FB47D7">
            <w:pPr>
              <w:spacing w:after="0" w:line="240" w:lineRule="auto"/>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Total</w:t>
            </w:r>
          </w:p>
        </w:tc>
        <w:tc>
          <w:tcPr>
            <w:tcW w:w="1124" w:type="dxa"/>
            <w:tcBorders>
              <w:top w:val="nil"/>
              <w:left w:val="nil"/>
              <w:bottom w:val="single" w:sz="4" w:space="0" w:color="auto"/>
              <w:right w:val="single" w:sz="4" w:space="0" w:color="auto"/>
            </w:tcBorders>
            <w:shd w:val="clear" w:color="auto" w:fill="auto"/>
            <w:noWrap/>
            <w:vAlign w:val="center"/>
            <w:hideMark/>
          </w:tcPr>
          <w:p w:rsidR="00FB47D7" w:rsidRPr="00AE0294" w:rsidRDefault="004F6920" w:rsidP="00FB47D7">
            <w:pPr>
              <w:spacing w:after="0" w:line="240" w:lineRule="auto"/>
              <w:jc w:val="center"/>
              <w:rPr>
                <w:rFonts w:cstheme="minorHAnsi"/>
                <w:b/>
                <w:bCs/>
                <w:color w:val="000000"/>
                <w:sz w:val="24"/>
                <w:szCs w:val="24"/>
              </w:rPr>
            </w:pPr>
            <w:r>
              <w:rPr>
                <w:rFonts w:cstheme="minorHAnsi"/>
                <w:b/>
                <w:bCs/>
                <w:color w:val="000000"/>
                <w:sz w:val="24"/>
                <w:szCs w:val="24"/>
              </w:rPr>
              <w:t>923</w:t>
            </w:r>
          </w:p>
        </w:tc>
        <w:tc>
          <w:tcPr>
            <w:tcW w:w="1024" w:type="dxa"/>
            <w:tcBorders>
              <w:top w:val="nil"/>
              <w:left w:val="nil"/>
              <w:bottom w:val="single" w:sz="4" w:space="0" w:color="auto"/>
              <w:right w:val="single" w:sz="4" w:space="0" w:color="auto"/>
            </w:tcBorders>
            <w:shd w:val="clear" w:color="auto" w:fill="auto"/>
            <w:noWrap/>
            <w:vAlign w:val="center"/>
            <w:hideMark/>
          </w:tcPr>
          <w:p w:rsidR="00FB47D7" w:rsidRPr="00AE0294" w:rsidRDefault="004F6920" w:rsidP="00FB47D7">
            <w:pPr>
              <w:spacing w:after="0" w:line="240" w:lineRule="auto"/>
              <w:jc w:val="center"/>
              <w:rPr>
                <w:rFonts w:cstheme="minorHAnsi"/>
                <w:b/>
                <w:bCs/>
                <w:color w:val="000000"/>
                <w:sz w:val="24"/>
                <w:szCs w:val="24"/>
              </w:rPr>
            </w:pPr>
            <w:r>
              <w:rPr>
                <w:rFonts w:cstheme="minorHAnsi"/>
                <w:b/>
                <w:bCs/>
                <w:color w:val="000000"/>
                <w:sz w:val="24"/>
                <w:szCs w:val="24"/>
              </w:rPr>
              <w:t>1146</w:t>
            </w:r>
          </w:p>
        </w:tc>
        <w:tc>
          <w:tcPr>
            <w:tcW w:w="960" w:type="dxa"/>
            <w:tcBorders>
              <w:top w:val="nil"/>
              <w:left w:val="nil"/>
              <w:bottom w:val="single" w:sz="4" w:space="0" w:color="auto"/>
              <w:right w:val="single" w:sz="4" w:space="0" w:color="auto"/>
            </w:tcBorders>
            <w:shd w:val="clear" w:color="auto" w:fill="auto"/>
            <w:noWrap/>
            <w:vAlign w:val="center"/>
            <w:hideMark/>
          </w:tcPr>
          <w:p w:rsidR="00FB47D7" w:rsidRPr="00AE0294" w:rsidRDefault="00CA51BC" w:rsidP="00FB47D7">
            <w:pPr>
              <w:spacing w:after="0" w:line="240" w:lineRule="auto"/>
              <w:jc w:val="center"/>
              <w:rPr>
                <w:rFonts w:cstheme="minorHAnsi"/>
                <w:b/>
                <w:bCs/>
                <w:color w:val="000000"/>
                <w:sz w:val="24"/>
                <w:szCs w:val="24"/>
              </w:rPr>
            </w:pPr>
            <w:r>
              <w:rPr>
                <w:rFonts w:cstheme="minorHAnsi"/>
                <w:b/>
                <w:bCs/>
                <w:color w:val="000000"/>
                <w:sz w:val="24"/>
                <w:szCs w:val="24"/>
              </w:rPr>
              <w:t>2070</w:t>
            </w:r>
          </w:p>
        </w:tc>
      </w:tr>
    </w:tbl>
    <w:p w:rsidR="00C6492A" w:rsidRPr="00AE0294" w:rsidRDefault="00C6492A" w:rsidP="00C6492A">
      <w:pPr>
        <w:spacing w:line="360" w:lineRule="auto"/>
        <w:rPr>
          <w:rFonts w:cstheme="minorHAnsi"/>
          <w:color w:val="000000" w:themeColor="text1"/>
          <w:sz w:val="24"/>
          <w:szCs w:val="24"/>
        </w:rPr>
      </w:pPr>
    </w:p>
    <w:p w:rsidR="00C6492A" w:rsidRPr="00AE0294" w:rsidRDefault="00C6492A" w:rsidP="004669ED">
      <w:pPr>
        <w:pStyle w:val="Heading1"/>
        <w:ind w:left="1418" w:hanging="1418"/>
        <w:jc w:val="both"/>
        <w:rPr>
          <w:rFonts w:cstheme="minorHAnsi"/>
          <w:szCs w:val="24"/>
        </w:rPr>
      </w:pPr>
      <w:bookmarkStart w:id="4" w:name="_Toc120733943"/>
      <w:r w:rsidRPr="00AE0294">
        <w:rPr>
          <w:rFonts w:cstheme="minorHAnsi"/>
          <w:color w:val="000000" w:themeColor="text1"/>
          <w:szCs w:val="24"/>
        </w:rPr>
        <w:t>Category</w:t>
      </w:r>
      <w:r w:rsidRPr="00AE0294">
        <w:rPr>
          <w:rFonts w:cstheme="minorHAnsi"/>
          <w:szCs w:val="24"/>
        </w:rPr>
        <w:t>-</w:t>
      </w:r>
      <w:r w:rsidR="008E1AA5" w:rsidRPr="00AE0294">
        <w:rPr>
          <w:rFonts w:cstheme="minorHAnsi"/>
          <w:szCs w:val="24"/>
        </w:rPr>
        <w:t>1B</w:t>
      </w:r>
      <w:r w:rsidRPr="00AE0294">
        <w:rPr>
          <w:rFonts w:cstheme="minorHAnsi"/>
          <w:szCs w:val="24"/>
        </w:rPr>
        <w:t xml:space="preserve">: Impact of </w:t>
      </w:r>
      <w:r w:rsidR="00110619" w:rsidRPr="00AE0294">
        <w:rPr>
          <w:rFonts w:cstheme="minorHAnsi"/>
          <w:szCs w:val="24"/>
        </w:rPr>
        <w:t xml:space="preserve">Hon’ble </w:t>
      </w:r>
      <w:r w:rsidRPr="00AE0294">
        <w:rPr>
          <w:rFonts w:cstheme="minorHAnsi"/>
          <w:szCs w:val="24"/>
        </w:rPr>
        <w:t>Supreme Court Judgment and Order dated 18.10.2022</w:t>
      </w:r>
      <w:bookmarkEnd w:id="4"/>
    </w:p>
    <w:p w:rsidR="00B22483" w:rsidRPr="00AE0294" w:rsidRDefault="00B22483" w:rsidP="00B22483">
      <w:pPr>
        <w:pStyle w:val="ARRB11"/>
        <w:numPr>
          <w:ilvl w:val="1"/>
          <w:numId w:val="2"/>
        </w:numPr>
        <w:ind w:left="990" w:hanging="990"/>
        <w:rPr>
          <w:szCs w:val="24"/>
        </w:rPr>
      </w:pPr>
      <w:r w:rsidRPr="00AE0294">
        <w:rPr>
          <w:szCs w:val="24"/>
        </w:rPr>
        <w:t xml:space="preserve">This category deals with the issues which have been decided by the Hon’ble Supreme Court in favour of the Petitioner vide Order dated 18.10.2022  and needs to be implemented by the Hon’ble Commission in letter and spirit. </w:t>
      </w:r>
    </w:p>
    <w:p w:rsidR="00C6492A" w:rsidRPr="00AE0294" w:rsidRDefault="00C6492A" w:rsidP="00BC3A95">
      <w:pPr>
        <w:pStyle w:val="ListParagraph"/>
        <w:numPr>
          <w:ilvl w:val="0"/>
          <w:numId w:val="10"/>
        </w:numPr>
        <w:spacing w:line="360" w:lineRule="auto"/>
        <w:ind w:left="1418" w:hanging="709"/>
        <w:rPr>
          <w:rFonts w:asciiTheme="minorHAnsi" w:hAnsiTheme="minorHAnsi" w:cstheme="minorHAnsi"/>
          <w:color w:val="000000" w:themeColor="text1"/>
        </w:rPr>
      </w:pPr>
      <w:r w:rsidRPr="00AE0294">
        <w:rPr>
          <w:rFonts w:asciiTheme="minorHAnsi" w:hAnsiTheme="minorHAnsi" w:cstheme="minorHAnsi"/>
          <w:color w:val="000000" w:themeColor="text1"/>
        </w:rPr>
        <w:t>Impact of issues decided in Civil Appeal 4323-4324 of 2015 (arising from APTEL judgment dated 28.11.2014 in Appeal No. 61 &amp; 62 of 2012)</w:t>
      </w:r>
    </w:p>
    <w:p w:rsidR="00C6492A" w:rsidRPr="00AE0294" w:rsidRDefault="00C6492A" w:rsidP="00BC3A95">
      <w:pPr>
        <w:pStyle w:val="ListParagraph"/>
        <w:numPr>
          <w:ilvl w:val="0"/>
          <w:numId w:val="10"/>
        </w:numPr>
        <w:spacing w:line="360" w:lineRule="auto"/>
        <w:ind w:left="1418" w:hanging="709"/>
        <w:rPr>
          <w:rFonts w:asciiTheme="minorHAnsi" w:hAnsiTheme="minorHAnsi" w:cstheme="minorHAnsi"/>
          <w:color w:val="000000" w:themeColor="text1"/>
        </w:rPr>
      </w:pPr>
      <w:r w:rsidRPr="00AE0294">
        <w:rPr>
          <w:rFonts w:asciiTheme="minorHAnsi" w:hAnsiTheme="minorHAnsi" w:cstheme="minorHAnsi"/>
          <w:color w:val="000000" w:themeColor="text1"/>
        </w:rPr>
        <w:t>Impact of the Principles decided in the Judgment on other issues.</w:t>
      </w:r>
    </w:p>
    <w:p w:rsidR="00C6492A" w:rsidRPr="00AE0294" w:rsidRDefault="00F907D2" w:rsidP="00BC3A95">
      <w:pPr>
        <w:pStyle w:val="Heading1"/>
        <w:numPr>
          <w:ilvl w:val="0"/>
          <w:numId w:val="18"/>
        </w:numPr>
        <w:jc w:val="both"/>
        <w:rPr>
          <w:rFonts w:cstheme="minorHAnsi"/>
          <w:szCs w:val="24"/>
        </w:rPr>
      </w:pPr>
      <w:bookmarkStart w:id="5" w:name="_Toc120733944"/>
      <w:r w:rsidRPr="00AE0294">
        <w:rPr>
          <w:rFonts w:cstheme="minorHAnsi"/>
          <w:szCs w:val="24"/>
        </w:rPr>
        <w:t>Impact of issues decided in Civil Appeal 4323-4324 of 2015 (arising from APTEL judgment dated 28.11.2014 in Appeal No. 61 &amp; 62 of 2012)</w:t>
      </w:r>
      <w:bookmarkEnd w:id="5"/>
    </w:p>
    <w:p w:rsidR="00B63255" w:rsidRPr="00AE0294" w:rsidRDefault="00B63255" w:rsidP="00B63255">
      <w:pPr>
        <w:pStyle w:val="ARRB11"/>
        <w:numPr>
          <w:ilvl w:val="1"/>
          <w:numId w:val="2"/>
        </w:numPr>
        <w:ind w:left="990" w:hanging="990"/>
        <w:rPr>
          <w:szCs w:val="24"/>
        </w:rPr>
      </w:pPr>
      <w:r w:rsidRPr="00AE0294">
        <w:rPr>
          <w:szCs w:val="24"/>
        </w:rPr>
        <w:t xml:space="preserve">Hon’ble Supreme Court on 18.10.2022 </w:t>
      </w:r>
      <w:r w:rsidR="00DF4928" w:rsidRPr="00AE0294">
        <w:rPr>
          <w:szCs w:val="24"/>
        </w:rPr>
        <w:t xml:space="preserve">has passed the final judgment </w:t>
      </w:r>
      <w:r w:rsidRPr="00AE0294">
        <w:rPr>
          <w:szCs w:val="24"/>
        </w:rPr>
        <w:t>in Civil Appeal No. 4323 and 4324 of 2015</w:t>
      </w:r>
      <w:r w:rsidR="00DF4928" w:rsidRPr="00AE0294">
        <w:rPr>
          <w:szCs w:val="24"/>
        </w:rPr>
        <w:t xml:space="preserve">, allowing the Appeals and setting aside the </w:t>
      </w:r>
      <w:r w:rsidR="00A905A7" w:rsidRPr="00AE0294">
        <w:rPr>
          <w:szCs w:val="24"/>
        </w:rPr>
        <w:t xml:space="preserve">Hon’ble </w:t>
      </w:r>
      <w:r w:rsidR="00DF4928" w:rsidRPr="00AE0294">
        <w:rPr>
          <w:szCs w:val="24"/>
        </w:rPr>
        <w:t>APTEL Order dated 28.11.2014 passed in Appeal 61 &amp; 62 of 2012 on 6 issues.</w:t>
      </w:r>
    </w:p>
    <w:p w:rsidR="00B63255" w:rsidRPr="00AE0294" w:rsidRDefault="00B63255" w:rsidP="00B63255">
      <w:pPr>
        <w:pStyle w:val="ARRB11"/>
        <w:numPr>
          <w:ilvl w:val="1"/>
          <w:numId w:val="2"/>
        </w:numPr>
        <w:ind w:left="990" w:hanging="990"/>
        <w:rPr>
          <w:szCs w:val="24"/>
        </w:rPr>
      </w:pPr>
      <w:r w:rsidRPr="00AE0294">
        <w:rPr>
          <w:szCs w:val="24"/>
          <w:lang w:val="en-US"/>
        </w:rPr>
        <w:lastRenderedPageBreak/>
        <w:t xml:space="preserve">The financial impact of issues which have been allowed by the Hon’ble Supreme Court </w:t>
      </w:r>
      <w:r w:rsidR="00DF4928" w:rsidRPr="00AE0294">
        <w:rPr>
          <w:szCs w:val="24"/>
          <w:lang w:val="en-US"/>
        </w:rPr>
        <w:t xml:space="preserve">and ought to be implemented by the Hon’ble Commission in terms of the directions contained in the Order dated 18.10.2022 </w:t>
      </w:r>
      <w:r w:rsidRPr="00AE0294">
        <w:rPr>
          <w:szCs w:val="24"/>
          <w:lang w:val="en-US"/>
        </w:rPr>
        <w:t>is as under:</w:t>
      </w:r>
    </w:p>
    <w:p w:rsidR="00F8479F" w:rsidRPr="00AE0294" w:rsidRDefault="00F8479F" w:rsidP="00F8479F">
      <w:pPr>
        <w:pStyle w:val="Caption"/>
        <w:ind w:left="644"/>
        <w:jc w:val="center"/>
        <w:rPr>
          <w:rFonts w:cstheme="minorHAnsi"/>
          <w:sz w:val="24"/>
          <w:szCs w:val="24"/>
          <w:lang w:val="en-GB"/>
        </w:rPr>
      </w:pPr>
      <w:bookmarkStart w:id="6" w:name="_Toc120734111"/>
      <w:r w:rsidRPr="00AE0294">
        <w:rPr>
          <w:rFonts w:cstheme="minorHAnsi"/>
          <w:b/>
          <w:i w:val="0"/>
          <w:color w:val="000000" w:themeColor="text1"/>
          <w:sz w:val="24"/>
          <w:szCs w:val="24"/>
        </w:rPr>
        <w:t xml:space="preserve">Table 3B </w:t>
      </w:r>
      <w:r w:rsidR="00BC0EFD" w:rsidRPr="00AE0294">
        <w:rPr>
          <w:rFonts w:cstheme="minorHAnsi"/>
          <w:b/>
          <w:i w:val="0"/>
          <w:color w:val="000000" w:themeColor="text1"/>
          <w:sz w:val="24"/>
          <w:szCs w:val="24"/>
        </w:rPr>
        <w:fldChar w:fldCharType="begin"/>
      </w:r>
      <w:r w:rsidRPr="00AE0294">
        <w:rPr>
          <w:rFonts w:cstheme="minorHAnsi"/>
          <w:b/>
          <w:i w:val="0"/>
          <w:color w:val="000000" w:themeColor="text1"/>
          <w:sz w:val="24"/>
          <w:szCs w:val="24"/>
        </w:rPr>
        <w:instrText xml:space="preserve"> SEQ Table_3B \* ARABIC </w:instrText>
      </w:r>
      <w:r w:rsidR="00BC0EFD" w:rsidRPr="00AE0294">
        <w:rPr>
          <w:rFonts w:cstheme="minorHAnsi"/>
          <w:b/>
          <w:i w:val="0"/>
          <w:color w:val="000000" w:themeColor="text1"/>
          <w:sz w:val="24"/>
          <w:szCs w:val="24"/>
        </w:rPr>
        <w:fldChar w:fldCharType="separate"/>
      </w:r>
      <w:r w:rsidR="006D2E03">
        <w:rPr>
          <w:rFonts w:cstheme="minorHAnsi"/>
          <w:b/>
          <w:i w:val="0"/>
          <w:noProof/>
          <w:color w:val="000000" w:themeColor="text1"/>
          <w:sz w:val="24"/>
          <w:szCs w:val="24"/>
        </w:rPr>
        <w:t>3</w:t>
      </w:r>
      <w:r w:rsidR="00BC0EFD" w:rsidRPr="00AE0294">
        <w:rPr>
          <w:rFonts w:cstheme="minorHAnsi"/>
          <w:b/>
          <w:i w:val="0"/>
          <w:color w:val="000000" w:themeColor="text1"/>
          <w:sz w:val="24"/>
          <w:szCs w:val="24"/>
        </w:rPr>
        <w:fldChar w:fldCharType="end"/>
      </w:r>
      <w:r w:rsidRPr="00AE0294">
        <w:rPr>
          <w:rFonts w:cstheme="minorHAnsi"/>
          <w:b/>
          <w:i w:val="0"/>
          <w:color w:val="000000" w:themeColor="text1"/>
          <w:sz w:val="24"/>
          <w:szCs w:val="24"/>
        </w:rPr>
        <w:t xml:space="preserve">: </w:t>
      </w:r>
      <w:r w:rsidR="00007721" w:rsidRPr="00AE0294">
        <w:rPr>
          <w:rFonts w:cstheme="minorHAnsi"/>
          <w:b/>
          <w:i w:val="0"/>
          <w:color w:val="000000" w:themeColor="text1"/>
          <w:sz w:val="24"/>
          <w:szCs w:val="24"/>
        </w:rPr>
        <w:t>I</w:t>
      </w:r>
      <w:r w:rsidRPr="00AE0294">
        <w:rPr>
          <w:rFonts w:cstheme="minorHAnsi"/>
          <w:b/>
          <w:i w:val="0"/>
          <w:color w:val="000000" w:themeColor="text1"/>
          <w:sz w:val="24"/>
          <w:szCs w:val="24"/>
        </w:rPr>
        <w:t>ssues which have attained finality vide Hon’ble Supreme Court Order dated 18.10.2022</w:t>
      </w:r>
      <w:bookmarkEnd w:id="6"/>
    </w:p>
    <w:tbl>
      <w:tblPr>
        <w:tblW w:w="8286" w:type="dxa"/>
        <w:tblInd w:w="704" w:type="dxa"/>
        <w:tblLook w:val="04A0" w:firstRow="1" w:lastRow="0" w:firstColumn="1" w:lastColumn="0" w:noHBand="0" w:noVBand="1"/>
      </w:tblPr>
      <w:tblGrid>
        <w:gridCol w:w="959"/>
        <w:gridCol w:w="4284"/>
        <w:gridCol w:w="1083"/>
        <w:gridCol w:w="1048"/>
        <w:gridCol w:w="960"/>
      </w:tblGrid>
      <w:tr w:rsidR="009867C9" w:rsidRPr="00AE0294" w:rsidTr="009867C9">
        <w:trPr>
          <w:trHeight w:val="300"/>
          <w:tblHeader/>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867C9" w:rsidRPr="00AE0294" w:rsidRDefault="009867C9" w:rsidP="009867C9">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S.No.</w:t>
            </w:r>
          </w:p>
        </w:tc>
        <w:tc>
          <w:tcPr>
            <w:tcW w:w="4285" w:type="dxa"/>
            <w:tcBorders>
              <w:top w:val="single" w:sz="4" w:space="0" w:color="auto"/>
              <w:left w:val="nil"/>
              <w:bottom w:val="single" w:sz="4" w:space="0" w:color="auto"/>
              <w:right w:val="single" w:sz="4" w:space="0" w:color="auto"/>
            </w:tcBorders>
            <w:shd w:val="clear" w:color="000000" w:fill="FFFFFF"/>
            <w:noWrap/>
            <w:vAlign w:val="bottom"/>
            <w:hideMark/>
          </w:tcPr>
          <w:p w:rsidR="009867C9" w:rsidRPr="00AE0294" w:rsidRDefault="009867C9" w:rsidP="009867C9">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Issues</w:t>
            </w:r>
          </w:p>
        </w:tc>
        <w:tc>
          <w:tcPr>
            <w:tcW w:w="1083" w:type="dxa"/>
            <w:tcBorders>
              <w:top w:val="single" w:sz="4" w:space="0" w:color="auto"/>
              <w:left w:val="nil"/>
              <w:bottom w:val="single" w:sz="4" w:space="0" w:color="auto"/>
              <w:right w:val="single" w:sz="4" w:space="0" w:color="auto"/>
            </w:tcBorders>
            <w:shd w:val="clear" w:color="000000" w:fill="FFFFFF"/>
            <w:noWrap/>
            <w:vAlign w:val="center"/>
            <w:hideMark/>
          </w:tcPr>
          <w:p w:rsidR="009867C9" w:rsidRPr="00AE0294" w:rsidRDefault="009867C9" w:rsidP="009867C9">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Principal</w:t>
            </w:r>
          </w:p>
        </w:tc>
        <w:tc>
          <w:tcPr>
            <w:tcW w:w="998" w:type="dxa"/>
            <w:tcBorders>
              <w:top w:val="single" w:sz="4" w:space="0" w:color="auto"/>
              <w:left w:val="nil"/>
              <w:bottom w:val="single" w:sz="4" w:space="0" w:color="auto"/>
              <w:right w:val="single" w:sz="4" w:space="0" w:color="auto"/>
            </w:tcBorders>
            <w:shd w:val="clear" w:color="000000" w:fill="FFFFFF"/>
            <w:noWrap/>
            <w:vAlign w:val="center"/>
            <w:hideMark/>
          </w:tcPr>
          <w:p w:rsidR="009867C9" w:rsidRPr="00AE0294" w:rsidRDefault="006245BA" w:rsidP="009867C9">
            <w:pPr>
              <w:spacing w:after="0" w:line="240" w:lineRule="auto"/>
              <w:jc w:val="center"/>
              <w:rPr>
                <w:rFonts w:eastAsia="Times New Roman" w:cstheme="minorHAnsi"/>
                <w:b/>
                <w:bCs/>
                <w:color w:val="000000"/>
                <w:sz w:val="24"/>
                <w:szCs w:val="24"/>
                <w:lang w:eastAsia="en-IN"/>
              </w:rPr>
            </w:pPr>
            <w:r>
              <w:rPr>
                <w:rFonts w:eastAsia="Times New Roman" w:cstheme="minorHAnsi"/>
                <w:b/>
                <w:bCs/>
                <w:color w:val="000000"/>
                <w:sz w:val="24"/>
                <w:szCs w:val="24"/>
                <w:lang w:eastAsia="en-IN"/>
              </w:rPr>
              <w:t>Carrying Cost</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9867C9" w:rsidRPr="00AE0294" w:rsidRDefault="009867C9" w:rsidP="009867C9">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Total</w:t>
            </w:r>
          </w:p>
        </w:tc>
      </w:tr>
      <w:tr w:rsidR="00B63255" w:rsidRPr="00AE0294" w:rsidTr="00F34305">
        <w:trPr>
          <w:trHeight w:val="60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B63255" w:rsidRPr="00AE0294" w:rsidRDefault="00B63255" w:rsidP="00B63255">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w:t>
            </w:r>
          </w:p>
        </w:tc>
        <w:tc>
          <w:tcPr>
            <w:tcW w:w="4285" w:type="dxa"/>
            <w:tcBorders>
              <w:top w:val="nil"/>
              <w:left w:val="nil"/>
              <w:bottom w:val="single" w:sz="4" w:space="0" w:color="auto"/>
              <w:right w:val="single" w:sz="4" w:space="0" w:color="auto"/>
            </w:tcBorders>
            <w:shd w:val="clear" w:color="000000" w:fill="FFFFFF"/>
            <w:noWrap/>
            <w:vAlign w:val="center"/>
            <w:hideMark/>
          </w:tcPr>
          <w:p w:rsidR="00B63255" w:rsidRPr="00AE0294" w:rsidRDefault="00B63255" w:rsidP="00B63255">
            <w:pPr>
              <w:spacing w:after="0" w:line="240" w:lineRule="auto"/>
              <w:jc w:val="both"/>
              <w:rPr>
                <w:rFonts w:eastAsia="Times New Roman" w:cstheme="minorHAnsi"/>
                <w:color w:val="000000"/>
                <w:sz w:val="24"/>
                <w:szCs w:val="24"/>
                <w:lang w:eastAsia="en-IN"/>
              </w:rPr>
            </w:pPr>
            <w:r w:rsidRPr="00AE0294">
              <w:rPr>
                <w:rFonts w:eastAsia="Times New Roman" w:cstheme="minorHAnsi"/>
                <w:color w:val="000000"/>
                <w:sz w:val="24"/>
                <w:szCs w:val="24"/>
                <w:lang w:eastAsia="en-IN"/>
              </w:rPr>
              <w:t>Change in methodology in computation of AT&amp;C losses*</w:t>
            </w:r>
          </w:p>
        </w:tc>
        <w:tc>
          <w:tcPr>
            <w:tcW w:w="1083" w:type="dxa"/>
            <w:vMerge w:val="restart"/>
            <w:tcBorders>
              <w:top w:val="nil"/>
              <w:left w:val="single" w:sz="4" w:space="0" w:color="auto"/>
              <w:bottom w:val="single" w:sz="4" w:space="0" w:color="000000"/>
              <w:right w:val="single" w:sz="4" w:space="0" w:color="auto"/>
            </w:tcBorders>
            <w:shd w:val="clear" w:color="000000" w:fill="FFFFFF"/>
            <w:noWrap/>
            <w:vAlign w:val="center"/>
          </w:tcPr>
          <w:p w:rsidR="00B63255" w:rsidRPr="00AE0294" w:rsidRDefault="00F34305" w:rsidP="00B63255">
            <w:pPr>
              <w:spacing w:after="0" w:line="240" w:lineRule="auto"/>
              <w:jc w:val="center"/>
              <w:rPr>
                <w:rFonts w:eastAsia="Times New Roman" w:cstheme="minorHAnsi"/>
                <w:color w:val="000000"/>
                <w:sz w:val="24"/>
                <w:szCs w:val="24"/>
                <w:lang w:eastAsia="en-IN"/>
              </w:rPr>
            </w:pPr>
            <w:r>
              <w:rPr>
                <w:rFonts w:eastAsia="Times New Roman" w:cstheme="minorHAnsi"/>
                <w:color w:val="000000"/>
                <w:sz w:val="24"/>
                <w:szCs w:val="24"/>
                <w:lang w:eastAsia="en-IN"/>
              </w:rPr>
              <w:t>160</w:t>
            </w:r>
          </w:p>
        </w:tc>
        <w:tc>
          <w:tcPr>
            <w:tcW w:w="998" w:type="dxa"/>
            <w:vMerge w:val="restart"/>
            <w:tcBorders>
              <w:top w:val="nil"/>
              <w:left w:val="single" w:sz="4" w:space="0" w:color="auto"/>
              <w:bottom w:val="single" w:sz="4" w:space="0" w:color="000000"/>
              <w:right w:val="single" w:sz="4" w:space="0" w:color="auto"/>
            </w:tcBorders>
            <w:shd w:val="clear" w:color="000000" w:fill="FFFFFF"/>
            <w:noWrap/>
            <w:vAlign w:val="center"/>
          </w:tcPr>
          <w:p w:rsidR="00B63255" w:rsidRPr="00AE0294" w:rsidRDefault="00F34305" w:rsidP="00B63255">
            <w:pPr>
              <w:spacing w:after="0" w:line="240" w:lineRule="auto"/>
              <w:jc w:val="center"/>
              <w:rPr>
                <w:rFonts w:eastAsia="Times New Roman" w:cstheme="minorHAnsi"/>
                <w:color w:val="000000"/>
                <w:sz w:val="24"/>
                <w:szCs w:val="24"/>
                <w:lang w:eastAsia="en-IN"/>
              </w:rPr>
            </w:pPr>
            <w:r>
              <w:rPr>
                <w:rFonts w:eastAsia="Times New Roman" w:cstheme="minorHAnsi"/>
                <w:color w:val="000000"/>
                <w:sz w:val="24"/>
                <w:szCs w:val="24"/>
                <w:lang w:eastAsia="en-IN"/>
              </w:rPr>
              <w:t>423</w:t>
            </w:r>
          </w:p>
        </w:tc>
        <w:tc>
          <w:tcPr>
            <w:tcW w:w="960" w:type="dxa"/>
            <w:vMerge w:val="restart"/>
            <w:tcBorders>
              <w:top w:val="nil"/>
              <w:left w:val="single" w:sz="4" w:space="0" w:color="auto"/>
              <w:bottom w:val="single" w:sz="4" w:space="0" w:color="000000"/>
              <w:right w:val="single" w:sz="4" w:space="0" w:color="auto"/>
            </w:tcBorders>
            <w:shd w:val="clear" w:color="000000" w:fill="FFFFFF"/>
            <w:noWrap/>
            <w:vAlign w:val="center"/>
          </w:tcPr>
          <w:p w:rsidR="00B63255" w:rsidRPr="00AE0294" w:rsidRDefault="00F34305" w:rsidP="00B63255">
            <w:pPr>
              <w:spacing w:after="0" w:line="240" w:lineRule="auto"/>
              <w:jc w:val="center"/>
              <w:rPr>
                <w:rFonts w:eastAsia="Times New Roman" w:cstheme="minorHAnsi"/>
                <w:color w:val="000000"/>
                <w:sz w:val="24"/>
                <w:szCs w:val="24"/>
                <w:lang w:eastAsia="en-IN"/>
              </w:rPr>
            </w:pPr>
            <w:r>
              <w:rPr>
                <w:rFonts w:eastAsia="Times New Roman" w:cstheme="minorHAnsi"/>
                <w:color w:val="000000"/>
                <w:sz w:val="24"/>
                <w:szCs w:val="24"/>
                <w:lang w:eastAsia="en-IN"/>
              </w:rPr>
              <w:t>583</w:t>
            </w:r>
          </w:p>
        </w:tc>
      </w:tr>
      <w:tr w:rsidR="00B63255" w:rsidRPr="00AE0294" w:rsidTr="00F34305">
        <w:trPr>
          <w:trHeight w:val="600"/>
        </w:trPr>
        <w:tc>
          <w:tcPr>
            <w:tcW w:w="960" w:type="dxa"/>
            <w:tcBorders>
              <w:top w:val="nil"/>
              <w:left w:val="single" w:sz="4" w:space="0" w:color="auto"/>
              <w:bottom w:val="single" w:sz="4" w:space="0" w:color="auto"/>
              <w:right w:val="single" w:sz="4" w:space="0" w:color="auto"/>
            </w:tcBorders>
            <w:shd w:val="clear" w:color="000000" w:fill="FFFFFF"/>
            <w:noWrap/>
            <w:vAlign w:val="center"/>
          </w:tcPr>
          <w:p w:rsidR="00B63255" w:rsidRPr="00AE0294" w:rsidRDefault="00B63255" w:rsidP="00B63255">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2</w:t>
            </w:r>
          </w:p>
        </w:tc>
        <w:tc>
          <w:tcPr>
            <w:tcW w:w="4285" w:type="dxa"/>
            <w:tcBorders>
              <w:top w:val="nil"/>
              <w:left w:val="nil"/>
              <w:bottom w:val="single" w:sz="4" w:space="0" w:color="auto"/>
              <w:right w:val="single" w:sz="4" w:space="0" w:color="auto"/>
            </w:tcBorders>
            <w:shd w:val="clear" w:color="000000" w:fill="FFFFFF"/>
            <w:noWrap/>
            <w:vAlign w:val="center"/>
            <w:hideMark/>
          </w:tcPr>
          <w:p w:rsidR="00B63255" w:rsidRPr="00AE0294" w:rsidRDefault="00B63255" w:rsidP="00B63255">
            <w:pPr>
              <w:spacing w:after="0" w:line="240" w:lineRule="auto"/>
              <w:jc w:val="both"/>
              <w:rPr>
                <w:rFonts w:eastAsia="Times New Roman" w:cstheme="minorHAnsi"/>
                <w:color w:val="000000"/>
                <w:sz w:val="24"/>
                <w:szCs w:val="24"/>
                <w:lang w:eastAsia="en-IN"/>
              </w:rPr>
            </w:pPr>
            <w:r w:rsidRPr="00AE0294">
              <w:rPr>
                <w:rFonts w:eastAsia="Times New Roman" w:cstheme="minorHAnsi"/>
                <w:color w:val="000000"/>
                <w:sz w:val="24"/>
                <w:szCs w:val="24"/>
                <w:lang w:eastAsia="en-IN"/>
              </w:rPr>
              <w:t>Reduction in Mus in relation to enforcement sale for the purpose of calculation of AT&amp;C Loss</w:t>
            </w:r>
          </w:p>
        </w:tc>
        <w:tc>
          <w:tcPr>
            <w:tcW w:w="1083" w:type="dxa"/>
            <w:vMerge/>
            <w:tcBorders>
              <w:top w:val="nil"/>
              <w:left w:val="single" w:sz="4" w:space="0" w:color="auto"/>
              <w:bottom w:val="single" w:sz="4" w:space="0" w:color="000000"/>
              <w:right w:val="single" w:sz="4" w:space="0" w:color="auto"/>
            </w:tcBorders>
            <w:vAlign w:val="center"/>
          </w:tcPr>
          <w:p w:rsidR="00B63255" w:rsidRPr="00AE0294" w:rsidRDefault="00B63255" w:rsidP="00B63255">
            <w:pPr>
              <w:spacing w:after="0" w:line="240" w:lineRule="auto"/>
              <w:rPr>
                <w:rFonts w:eastAsia="Times New Roman" w:cstheme="minorHAnsi"/>
                <w:color w:val="000000"/>
                <w:sz w:val="24"/>
                <w:szCs w:val="24"/>
                <w:lang w:eastAsia="en-IN"/>
              </w:rPr>
            </w:pPr>
          </w:p>
        </w:tc>
        <w:tc>
          <w:tcPr>
            <w:tcW w:w="998" w:type="dxa"/>
            <w:vMerge/>
            <w:tcBorders>
              <w:top w:val="nil"/>
              <w:left w:val="single" w:sz="4" w:space="0" w:color="auto"/>
              <w:bottom w:val="single" w:sz="4" w:space="0" w:color="000000"/>
              <w:right w:val="single" w:sz="4" w:space="0" w:color="auto"/>
            </w:tcBorders>
            <w:vAlign w:val="center"/>
          </w:tcPr>
          <w:p w:rsidR="00B63255" w:rsidRPr="00AE0294" w:rsidRDefault="00B63255" w:rsidP="00B63255">
            <w:pPr>
              <w:spacing w:after="0" w:line="240" w:lineRule="auto"/>
              <w:rPr>
                <w:rFonts w:eastAsia="Times New Roman" w:cstheme="minorHAnsi"/>
                <w:color w:val="000000"/>
                <w:sz w:val="24"/>
                <w:szCs w:val="24"/>
                <w:lang w:eastAsia="en-IN"/>
              </w:rPr>
            </w:pPr>
          </w:p>
        </w:tc>
        <w:tc>
          <w:tcPr>
            <w:tcW w:w="960" w:type="dxa"/>
            <w:vMerge/>
            <w:tcBorders>
              <w:top w:val="nil"/>
              <w:left w:val="single" w:sz="4" w:space="0" w:color="auto"/>
              <w:bottom w:val="single" w:sz="4" w:space="0" w:color="000000"/>
              <w:right w:val="single" w:sz="4" w:space="0" w:color="auto"/>
            </w:tcBorders>
            <w:vAlign w:val="center"/>
          </w:tcPr>
          <w:p w:rsidR="00B63255" w:rsidRPr="00AE0294" w:rsidRDefault="00B63255" w:rsidP="00B63255">
            <w:pPr>
              <w:spacing w:after="0" w:line="240" w:lineRule="auto"/>
              <w:rPr>
                <w:rFonts w:eastAsia="Times New Roman" w:cstheme="minorHAnsi"/>
                <w:color w:val="000000"/>
                <w:sz w:val="24"/>
                <w:szCs w:val="24"/>
                <w:lang w:eastAsia="en-IN"/>
              </w:rPr>
            </w:pPr>
          </w:p>
        </w:tc>
      </w:tr>
      <w:tr w:rsidR="00B63255" w:rsidRPr="00AE0294" w:rsidTr="00F26829">
        <w:trPr>
          <w:trHeight w:val="600"/>
        </w:trPr>
        <w:tc>
          <w:tcPr>
            <w:tcW w:w="960" w:type="dxa"/>
            <w:tcBorders>
              <w:top w:val="nil"/>
              <w:left w:val="single" w:sz="4" w:space="0" w:color="auto"/>
              <w:bottom w:val="single" w:sz="4" w:space="0" w:color="auto"/>
              <w:right w:val="single" w:sz="4" w:space="0" w:color="auto"/>
            </w:tcBorders>
            <w:shd w:val="clear" w:color="000000" w:fill="FFFFFF"/>
            <w:noWrap/>
            <w:vAlign w:val="center"/>
          </w:tcPr>
          <w:p w:rsidR="00B63255" w:rsidRPr="00AE0294" w:rsidRDefault="00B63255" w:rsidP="00B63255">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3</w:t>
            </w:r>
          </w:p>
        </w:tc>
        <w:tc>
          <w:tcPr>
            <w:tcW w:w="4285" w:type="dxa"/>
            <w:tcBorders>
              <w:top w:val="nil"/>
              <w:left w:val="nil"/>
              <w:bottom w:val="single" w:sz="4" w:space="0" w:color="auto"/>
              <w:right w:val="single" w:sz="4" w:space="0" w:color="auto"/>
            </w:tcBorders>
            <w:shd w:val="clear" w:color="000000" w:fill="FFFFFF"/>
            <w:noWrap/>
            <w:vAlign w:val="center"/>
            <w:hideMark/>
          </w:tcPr>
          <w:p w:rsidR="00B63255" w:rsidRPr="00AE0294" w:rsidRDefault="00B63255" w:rsidP="00B63255">
            <w:pPr>
              <w:spacing w:after="0" w:line="240" w:lineRule="auto"/>
              <w:jc w:val="both"/>
              <w:rPr>
                <w:rFonts w:eastAsia="Times New Roman" w:cstheme="minorHAnsi"/>
                <w:color w:val="000000"/>
                <w:sz w:val="24"/>
                <w:szCs w:val="24"/>
                <w:lang w:eastAsia="en-IN"/>
              </w:rPr>
            </w:pPr>
            <w:r w:rsidRPr="00AE0294">
              <w:rPr>
                <w:rFonts w:eastAsia="Times New Roman" w:cstheme="minorHAnsi"/>
                <w:color w:val="000000"/>
                <w:sz w:val="24"/>
                <w:szCs w:val="24"/>
                <w:lang w:eastAsia="en-IN"/>
              </w:rPr>
              <w:t>Change in methodology for computation of depreciation</w:t>
            </w:r>
          </w:p>
        </w:tc>
        <w:tc>
          <w:tcPr>
            <w:tcW w:w="1083" w:type="dxa"/>
            <w:tcBorders>
              <w:top w:val="nil"/>
              <w:left w:val="nil"/>
              <w:bottom w:val="single" w:sz="4" w:space="0" w:color="auto"/>
              <w:right w:val="single" w:sz="4" w:space="0" w:color="auto"/>
            </w:tcBorders>
            <w:shd w:val="clear" w:color="000000" w:fill="FFFFFF"/>
            <w:noWrap/>
            <w:vAlign w:val="center"/>
          </w:tcPr>
          <w:p w:rsidR="00B63255" w:rsidRPr="00AE0294" w:rsidRDefault="00F34305" w:rsidP="00B63255">
            <w:pPr>
              <w:spacing w:after="0" w:line="240" w:lineRule="auto"/>
              <w:jc w:val="center"/>
              <w:rPr>
                <w:rFonts w:eastAsia="Times New Roman" w:cstheme="minorHAnsi"/>
                <w:color w:val="000000"/>
                <w:sz w:val="24"/>
                <w:szCs w:val="24"/>
                <w:lang w:eastAsia="en-IN"/>
              </w:rPr>
            </w:pPr>
            <w:r>
              <w:rPr>
                <w:rFonts w:eastAsia="Times New Roman" w:cstheme="minorHAnsi"/>
                <w:color w:val="000000"/>
                <w:sz w:val="24"/>
                <w:szCs w:val="24"/>
                <w:lang w:eastAsia="en-IN"/>
              </w:rPr>
              <w:t>19</w:t>
            </w:r>
          </w:p>
        </w:tc>
        <w:tc>
          <w:tcPr>
            <w:tcW w:w="998" w:type="dxa"/>
            <w:tcBorders>
              <w:top w:val="nil"/>
              <w:left w:val="nil"/>
              <w:bottom w:val="single" w:sz="4" w:space="0" w:color="auto"/>
              <w:right w:val="single" w:sz="4" w:space="0" w:color="auto"/>
            </w:tcBorders>
            <w:shd w:val="clear" w:color="000000" w:fill="FFFFFF"/>
            <w:noWrap/>
            <w:vAlign w:val="center"/>
          </w:tcPr>
          <w:p w:rsidR="00B63255" w:rsidRPr="00AE0294" w:rsidRDefault="00F34305" w:rsidP="00B63255">
            <w:pPr>
              <w:spacing w:after="0" w:line="240" w:lineRule="auto"/>
              <w:jc w:val="center"/>
              <w:rPr>
                <w:rFonts w:eastAsia="Times New Roman" w:cstheme="minorHAnsi"/>
                <w:color w:val="000000"/>
                <w:sz w:val="24"/>
                <w:szCs w:val="24"/>
                <w:lang w:eastAsia="en-IN"/>
              </w:rPr>
            </w:pPr>
            <w:r>
              <w:rPr>
                <w:rFonts w:eastAsia="Times New Roman" w:cstheme="minorHAnsi"/>
                <w:color w:val="000000"/>
                <w:sz w:val="24"/>
                <w:szCs w:val="24"/>
                <w:lang w:eastAsia="en-IN"/>
              </w:rPr>
              <w:t>75</w:t>
            </w:r>
          </w:p>
        </w:tc>
        <w:tc>
          <w:tcPr>
            <w:tcW w:w="960" w:type="dxa"/>
            <w:tcBorders>
              <w:top w:val="nil"/>
              <w:left w:val="nil"/>
              <w:bottom w:val="single" w:sz="4" w:space="0" w:color="auto"/>
              <w:right w:val="single" w:sz="4" w:space="0" w:color="auto"/>
            </w:tcBorders>
            <w:shd w:val="clear" w:color="000000" w:fill="FFFFFF"/>
            <w:noWrap/>
            <w:vAlign w:val="center"/>
          </w:tcPr>
          <w:p w:rsidR="00B63255" w:rsidRPr="00AE0294" w:rsidRDefault="00F34305" w:rsidP="00B63255">
            <w:pPr>
              <w:spacing w:after="0" w:line="240" w:lineRule="auto"/>
              <w:jc w:val="center"/>
              <w:rPr>
                <w:rFonts w:eastAsia="Times New Roman" w:cstheme="minorHAnsi"/>
                <w:color w:val="000000"/>
                <w:sz w:val="24"/>
                <w:szCs w:val="24"/>
                <w:lang w:eastAsia="en-IN"/>
              </w:rPr>
            </w:pPr>
            <w:r>
              <w:rPr>
                <w:rFonts w:eastAsia="Times New Roman" w:cstheme="minorHAnsi"/>
                <w:color w:val="000000"/>
                <w:sz w:val="24"/>
                <w:szCs w:val="24"/>
                <w:lang w:eastAsia="en-IN"/>
              </w:rPr>
              <w:t>94</w:t>
            </w:r>
          </w:p>
        </w:tc>
      </w:tr>
      <w:tr w:rsidR="00B63255" w:rsidRPr="00AE0294" w:rsidTr="00F34305">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center"/>
          </w:tcPr>
          <w:p w:rsidR="00B63255" w:rsidRPr="00AE0294" w:rsidRDefault="00B63255" w:rsidP="00B63255">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4</w:t>
            </w:r>
          </w:p>
        </w:tc>
        <w:tc>
          <w:tcPr>
            <w:tcW w:w="4285" w:type="dxa"/>
            <w:tcBorders>
              <w:top w:val="nil"/>
              <w:left w:val="nil"/>
              <w:bottom w:val="single" w:sz="4" w:space="0" w:color="auto"/>
              <w:right w:val="single" w:sz="4" w:space="0" w:color="auto"/>
            </w:tcBorders>
            <w:shd w:val="clear" w:color="000000" w:fill="FFFFFF"/>
            <w:noWrap/>
            <w:vAlign w:val="center"/>
            <w:hideMark/>
          </w:tcPr>
          <w:p w:rsidR="00B63255" w:rsidRPr="00AE0294" w:rsidRDefault="00B63255" w:rsidP="00B63255">
            <w:pPr>
              <w:spacing w:after="0" w:line="240" w:lineRule="auto"/>
              <w:jc w:val="both"/>
              <w:rPr>
                <w:rFonts w:eastAsia="Times New Roman" w:cstheme="minorHAnsi"/>
                <w:color w:val="000000"/>
                <w:sz w:val="24"/>
                <w:szCs w:val="24"/>
                <w:lang w:eastAsia="en-IN"/>
              </w:rPr>
            </w:pPr>
            <w:r w:rsidRPr="00AE0294">
              <w:rPr>
                <w:rFonts w:eastAsia="Times New Roman" w:cstheme="minorHAnsi"/>
                <w:color w:val="000000"/>
                <w:sz w:val="24"/>
                <w:szCs w:val="24"/>
                <w:lang w:eastAsia="en-IN"/>
              </w:rPr>
              <w:t>Disallowance of salary for FRSR structure</w:t>
            </w:r>
          </w:p>
        </w:tc>
        <w:tc>
          <w:tcPr>
            <w:tcW w:w="1083" w:type="dxa"/>
            <w:tcBorders>
              <w:top w:val="nil"/>
              <w:left w:val="nil"/>
              <w:bottom w:val="single" w:sz="4" w:space="0" w:color="auto"/>
              <w:right w:val="single" w:sz="4" w:space="0" w:color="auto"/>
            </w:tcBorders>
            <w:shd w:val="clear" w:color="000000" w:fill="FFFFFF"/>
            <w:noWrap/>
            <w:vAlign w:val="center"/>
          </w:tcPr>
          <w:p w:rsidR="00B63255" w:rsidRPr="00AE0294" w:rsidRDefault="00F34305" w:rsidP="00B63255">
            <w:pPr>
              <w:spacing w:after="0" w:line="240" w:lineRule="auto"/>
              <w:jc w:val="center"/>
              <w:rPr>
                <w:rFonts w:eastAsia="Times New Roman" w:cstheme="minorHAnsi"/>
                <w:color w:val="000000"/>
                <w:sz w:val="24"/>
                <w:szCs w:val="24"/>
                <w:lang w:eastAsia="en-IN"/>
              </w:rPr>
            </w:pPr>
            <w:r>
              <w:rPr>
                <w:rFonts w:eastAsia="Times New Roman" w:cstheme="minorHAnsi"/>
                <w:color w:val="000000"/>
                <w:sz w:val="24"/>
                <w:szCs w:val="24"/>
                <w:lang w:eastAsia="en-IN"/>
              </w:rPr>
              <w:t>64</w:t>
            </w:r>
          </w:p>
        </w:tc>
        <w:tc>
          <w:tcPr>
            <w:tcW w:w="998" w:type="dxa"/>
            <w:tcBorders>
              <w:top w:val="nil"/>
              <w:left w:val="nil"/>
              <w:bottom w:val="single" w:sz="4" w:space="0" w:color="auto"/>
              <w:right w:val="single" w:sz="4" w:space="0" w:color="auto"/>
            </w:tcBorders>
            <w:shd w:val="clear" w:color="000000" w:fill="FFFFFF"/>
            <w:noWrap/>
            <w:vAlign w:val="center"/>
          </w:tcPr>
          <w:p w:rsidR="00B63255" w:rsidRPr="00AE0294" w:rsidRDefault="00F34305" w:rsidP="00B63255">
            <w:pPr>
              <w:spacing w:after="0" w:line="240" w:lineRule="auto"/>
              <w:jc w:val="center"/>
              <w:rPr>
                <w:rFonts w:eastAsia="Times New Roman" w:cstheme="minorHAnsi"/>
                <w:color w:val="000000"/>
                <w:sz w:val="24"/>
                <w:szCs w:val="24"/>
                <w:lang w:eastAsia="en-IN"/>
              </w:rPr>
            </w:pPr>
            <w:r>
              <w:rPr>
                <w:rFonts w:eastAsia="Times New Roman" w:cstheme="minorHAnsi"/>
                <w:color w:val="000000"/>
                <w:sz w:val="24"/>
                <w:szCs w:val="24"/>
                <w:lang w:eastAsia="en-IN"/>
              </w:rPr>
              <w:t>206</w:t>
            </w:r>
          </w:p>
        </w:tc>
        <w:tc>
          <w:tcPr>
            <w:tcW w:w="960" w:type="dxa"/>
            <w:tcBorders>
              <w:top w:val="nil"/>
              <w:left w:val="nil"/>
              <w:bottom w:val="single" w:sz="4" w:space="0" w:color="auto"/>
              <w:right w:val="single" w:sz="4" w:space="0" w:color="auto"/>
            </w:tcBorders>
            <w:shd w:val="clear" w:color="000000" w:fill="FFFFFF"/>
            <w:noWrap/>
            <w:vAlign w:val="center"/>
          </w:tcPr>
          <w:p w:rsidR="00B63255" w:rsidRPr="00AE0294" w:rsidRDefault="00F34305" w:rsidP="00B63255">
            <w:pPr>
              <w:spacing w:after="0" w:line="240" w:lineRule="auto"/>
              <w:jc w:val="center"/>
              <w:rPr>
                <w:rFonts w:eastAsia="Times New Roman" w:cstheme="minorHAnsi"/>
                <w:color w:val="000000"/>
                <w:sz w:val="24"/>
                <w:szCs w:val="24"/>
                <w:lang w:eastAsia="en-IN"/>
              </w:rPr>
            </w:pPr>
            <w:r>
              <w:rPr>
                <w:rFonts w:eastAsia="Times New Roman" w:cstheme="minorHAnsi"/>
                <w:color w:val="000000"/>
                <w:sz w:val="24"/>
                <w:szCs w:val="24"/>
                <w:lang w:eastAsia="en-IN"/>
              </w:rPr>
              <w:t>270</w:t>
            </w:r>
          </w:p>
        </w:tc>
      </w:tr>
      <w:tr w:rsidR="00B63255" w:rsidRPr="00AE0294" w:rsidTr="00F26829">
        <w:trPr>
          <w:trHeight w:val="900"/>
        </w:trPr>
        <w:tc>
          <w:tcPr>
            <w:tcW w:w="960" w:type="dxa"/>
            <w:tcBorders>
              <w:top w:val="nil"/>
              <w:left w:val="single" w:sz="4" w:space="0" w:color="auto"/>
              <w:bottom w:val="single" w:sz="4" w:space="0" w:color="auto"/>
              <w:right w:val="single" w:sz="4" w:space="0" w:color="auto"/>
            </w:tcBorders>
            <w:shd w:val="clear" w:color="000000" w:fill="FFFFFF"/>
            <w:noWrap/>
            <w:vAlign w:val="center"/>
          </w:tcPr>
          <w:p w:rsidR="00B63255" w:rsidRPr="00AE0294" w:rsidRDefault="00B63255" w:rsidP="00B63255">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5</w:t>
            </w:r>
          </w:p>
        </w:tc>
        <w:tc>
          <w:tcPr>
            <w:tcW w:w="4285" w:type="dxa"/>
            <w:tcBorders>
              <w:top w:val="nil"/>
              <w:left w:val="nil"/>
              <w:bottom w:val="single" w:sz="4" w:space="0" w:color="auto"/>
              <w:right w:val="single" w:sz="4" w:space="0" w:color="auto"/>
            </w:tcBorders>
            <w:shd w:val="clear" w:color="000000" w:fill="FFFFFF"/>
            <w:noWrap/>
            <w:vAlign w:val="center"/>
            <w:hideMark/>
          </w:tcPr>
          <w:p w:rsidR="00B63255" w:rsidRPr="00AE0294" w:rsidRDefault="00B63255" w:rsidP="00B63255">
            <w:pPr>
              <w:spacing w:after="0" w:line="240" w:lineRule="auto"/>
              <w:jc w:val="both"/>
              <w:rPr>
                <w:rFonts w:eastAsia="Times New Roman" w:cstheme="minorHAnsi"/>
                <w:color w:val="000000"/>
                <w:sz w:val="24"/>
                <w:szCs w:val="24"/>
                <w:lang w:eastAsia="en-IN"/>
              </w:rPr>
            </w:pPr>
            <w:r w:rsidRPr="00AE0294">
              <w:rPr>
                <w:rFonts w:eastAsia="Times New Roman" w:cstheme="minorHAnsi"/>
                <w:color w:val="000000"/>
                <w:sz w:val="24"/>
                <w:szCs w:val="24"/>
                <w:lang w:eastAsia="en-IN"/>
              </w:rPr>
              <w:t>Disallowance of interest on consumer security deposit incurred by the Appellant on consumption security deposit retained by DPCL</w:t>
            </w:r>
          </w:p>
        </w:tc>
        <w:tc>
          <w:tcPr>
            <w:tcW w:w="1083" w:type="dxa"/>
            <w:tcBorders>
              <w:top w:val="nil"/>
              <w:left w:val="nil"/>
              <w:bottom w:val="single" w:sz="4" w:space="0" w:color="auto"/>
              <w:right w:val="single" w:sz="4" w:space="0" w:color="auto"/>
            </w:tcBorders>
            <w:shd w:val="clear" w:color="000000" w:fill="FFFFFF"/>
            <w:noWrap/>
            <w:vAlign w:val="center"/>
          </w:tcPr>
          <w:p w:rsidR="00B63255" w:rsidRPr="00AE0294" w:rsidRDefault="00CA51BC" w:rsidP="00B63255">
            <w:pPr>
              <w:spacing w:after="0" w:line="240" w:lineRule="auto"/>
              <w:jc w:val="center"/>
              <w:rPr>
                <w:rFonts w:eastAsia="Times New Roman" w:cstheme="minorHAnsi"/>
                <w:color w:val="000000"/>
                <w:sz w:val="24"/>
                <w:szCs w:val="24"/>
                <w:lang w:eastAsia="en-IN"/>
              </w:rPr>
            </w:pPr>
            <w:r>
              <w:rPr>
                <w:rFonts w:eastAsia="Times New Roman" w:cstheme="minorHAnsi"/>
                <w:color w:val="000000"/>
                <w:sz w:val="24"/>
                <w:szCs w:val="24"/>
                <w:lang w:eastAsia="en-IN"/>
              </w:rPr>
              <w:t>0</w:t>
            </w:r>
          </w:p>
        </w:tc>
        <w:tc>
          <w:tcPr>
            <w:tcW w:w="998" w:type="dxa"/>
            <w:tcBorders>
              <w:top w:val="nil"/>
              <w:left w:val="nil"/>
              <w:bottom w:val="single" w:sz="4" w:space="0" w:color="auto"/>
              <w:right w:val="single" w:sz="4" w:space="0" w:color="auto"/>
            </w:tcBorders>
            <w:shd w:val="clear" w:color="000000" w:fill="FFFFFF"/>
            <w:noWrap/>
            <w:vAlign w:val="center"/>
          </w:tcPr>
          <w:p w:rsidR="00B63255" w:rsidRPr="00AE0294" w:rsidRDefault="00CA51BC" w:rsidP="00B63255">
            <w:pPr>
              <w:spacing w:after="0" w:line="240" w:lineRule="auto"/>
              <w:jc w:val="center"/>
              <w:rPr>
                <w:rFonts w:eastAsia="Times New Roman" w:cstheme="minorHAnsi"/>
                <w:color w:val="000000"/>
                <w:sz w:val="24"/>
                <w:szCs w:val="24"/>
                <w:lang w:eastAsia="en-IN"/>
              </w:rPr>
            </w:pPr>
            <w:r>
              <w:rPr>
                <w:rFonts w:eastAsia="Times New Roman" w:cstheme="minorHAnsi"/>
                <w:color w:val="000000"/>
                <w:sz w:val="24"/>
                <w:szCs w:val="24"/>
                <w:lang w:eastAsia="en-IN"/>
              </w:rPr>
              <w:t>0</w:t>
            </w:r>
          </w:p>
        </w:tc>
        <w:tc>
          <w:tcPr>
            <w:tcW w:w="960" w:type="dxa"/>
            <w:tcBorders>
              <w:top w:val="nil"/>
              <w:left w:val="nil"/>
              <w:bottom w:val="single" w:sz="4" w:space="0" w:color="auto"/>
              <w:right w:val="single" w:sz="4" w:space="0" w:color="auto"/>
            </w:tcBorders>
            <w:shd w:val="clear" w:color="000000" w:fill="FFFFFF"/>
            <w:noWrap/>
            <w:vAlign w:val="center"/>
          </w:tcPr>
          <w:p w:rsidR="00B63255" w:rsidRPr="00AE0294" w:rsidRDefault="00CA51BC" w:rsidP="00B63255">
            <w:pPr>
              <w:spacing w:after="0" w:line="240" w:lineRule="auto"/>
              <w:jc w:val="center"/>
              <w:rPr>
                <w:rFonts w:eastAsia="Times New Roman" w:cstheme="minorHAnsi"/>
                <w:color w:val="000000"/>
                <w:sz w:val="24"/>
                <w:szCs w:val="24"/>
                <w:lang w:eastAsia="en-IN"/>
              </w:rPr>
            </w:pPr>
            <w:r>
              <w:rPr>
                <w:rFonts w:eastAsia="Times New Roman" w:cstheme="minorHAnsi"/>
                <w:color w:val="000000"/>
                <w:sz w:val="24"/>
                <w:szCs w:val="24"/>
                <w:lang w:eastAsia="en-IN"/>
              </w:rPr>
              <w:t>0</w:t>
            </w:r>
          </w:p>
        </w:tc>
      </w:tr>
      <w:tr w:rsidR="00B63255" w:rsidRPr="00AE0294" w:rsidTr="00F34305">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center"/>
          </w:tcPr>
          <w:p w:rsidR="00B63255" w:rsidRPr="00AE0294" w:rsidRDefault="00B63255" w:rsidP="00B63255">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6</w:t>
            </w:r>
          </w:p>
        </w:tc>
        <w:tc>
          <w:tcPr>
            <w:tcW w:w="4285" w:type="dxa"/>
            <w:tcBorders>
              <w:top w:val="nil"/>
              <w:left w:val="nil"/>
              <w:bottom w:val="single" w:sz="4" w:space="0" w:color="auto"/>
              <w:right w:val="single" w:sz="4" w:space="0" w:color="auto"/>
            </w:tcBorders>
            <w:shd w:val="clear" w:color="000000" w:fill="FFFFFF"/>
            <w:noWrap/>
            <w:vAlign w:val="center"/>
            <w:hideMark/>
          </w:tcPr>
          <w:p w:rsidR="00B63255" w:rsidRPr="00AE0294" w:rsidRDefault="00B63255" w:rsidP="00B63255">
            <w:pPr>
              <w:spacing w:after="0" w:line="240" w:lineRule="auto"/>
              <w:jc w:val="both"/>
              <w:rPr>
                <w:rFonts w:eastAsia="Times New Roman" w:cstheme="minorHAnsi"/>
                <w:color w:val="000000"/>
                <w:sz w:val="24"/>
                <w:szCs w:val="24"/>
                <w:lang w:eastAsia="en-IN"/>
              </w:rPr>
            </w:pPr>
            <w:r w:rsidRPr="00AE0294">
              <w:rPr>
                <w:rFonts w:eastAsia="Times New Roman" w:cstheme="minorHAnsi"/>
                <w:color w:val="000000"/>
                <w:sz w:val="24"/>
                <w:szCs w:val="24"/>
                <w:lang w:eastAsia="en-IN"/>
              </w:rPr>
              <w:t>Disallowance of fringe benefit tax</w:t>
            </w:r>
          </w:p>
        </w:tc>
        <w:tc>
          <w:tcPr>
            <w:tcW w:w="1083" w:type="dxa"/>
            <w:tcBorders>
              <w:top w:val="nil"/>
              <w:left w:val="nil"/>
              <w:bottom w:val="single" w:sz="4" w:space="0" w:color="auto"/>
              <w:right w:val="single" w:sz="4" w:space="0" w:color="auto"/>
            </w:tcBorders>
            <w:shd w:val="clear" w:color="000000" w:fill="FFFFFF"/>
            <w:noWrap/>
            <w:vAlign w:val="center"/>
          </w:tcPr>
          <w:p w:rsidR="00B63255" w:rsidRPr="00AE0294" w:rsidRDefault="00F34305" w:rsidP="00B63255">
            <w:pPr>
              <w:spacing w:after="0" w:line="240" w:lineRule="auto"/>
              <w:jc w:val="center"/>
              <w:rPr>
                <w:rFonts w:eastAsia="Times New Roman" w:cstheme="minorHAnsi"/>
                <w:color w:val="000000"/>
                <w:sz w:val="24"/>
                <w:szCs w:val="24"/>
                <w:lang w:eastAsia="en-IN"/>
              </w:rPr>
            </w:pPr>
            <w:r>
              <w:rPr>
                <w:rFonts w:eastAsia="Times New Roman" w:cstheme="minorHAnsi"/>
                <w:color w:val="000000"/>
                <w:sz w:val="24"/>
                <w:szCs w:val="24"/>
                <w:lang w:eastAsia="en-IN"/>
              </w:rPr>
              <w:t>1</w:t>
            </w:r>
          </w:p>
        </w:tc>
        <w:tc>
          <w:tcPr>
            <w:tcW w:w="998" w:type="dxa"/>
            <w:tcBorders>
              <w:top w:val="nil"/>
              <w:left w:val="nil"/>
              <w:bottom w:val="single" w:sz="4" w:space="0" w:color="auto"/>
              <w:right w:val="single" w:sz="4" w:space="0" w:color="auto"/>
            </w:tcBorders>
            <w:shd w:val="clear" w:color="000000" w:fill="FFFFFF"/>
            <w:noWrap/>
            <w:vAlign w:val="center"/>
          </w:tcPr>
          <w:p w:rsidR="00B63255" w:rsidRPr="00AE0294" w:rsidRDefault="00F34305" w:rsidP="00B63255">
            <w:pPr>
              <w:spacing w:after="0" w:line="240" w:lineRule="auto"/>
              <w:jc w:val="center"/>
              <w:rPr>
                <w:rFonts w:eastAsia="Times New Roman" w:cstheme="minorHAnsi"/>
                <w:color w:val="000000"/>
                <w:sz w:val="24"/>
                <w:szCs w:val="24"/>
                <w:lang w:eastAsia="en-IN"/>
              </w:rPr>
            </w:pPr>
            <w:r>
              <w:rPr>
                <w:rFonts w:eastAsia="Times New Roman" w:cstheme="minorHAnsi"/>
                <w:color w:val="000000"/>
                <w:sz w:val="24"/>
                <w:szCs w:val="24"/>
                <w:lang w:eastAsia="en-IN"/>
              </w:rPr>
              <w:t>6</w:t>
            </w:r>
          </w:p>
        </w:tc>
        <w:tc>
          <w:tcPr>
            <w:tcW w:w="960" w:type="dxa"/>
            <w:tcBorders>
              <w:top w:val="nil"/>
              <w:left w:val="nil"/>
              <w:bottom w:val="single" w:sz="4" w:space="0" w:color="auto"/>
              <w:right w:val="single" w:sz="4" w:space="0" w:color="auto"/>
            </w:tcBorders>
            <w:shd w:val="clear" w:color="000000" w:fill="FFFFFF"/>
            <w:noWrap/>
            <w:vAlign w:val="center"/>
          </w:tcPr>
          <w:p w:rsidR="00B63255" w:rsidRPr="00AE0294" w:rsidRDefault="00F34305" w:rsidP="00B63255">
            <w:pPr>
              <w:spacing w:after="0" w:line="240" w:lineRule="auto"/>
              <w:jc w:val="center"/>
              <w:rPr>
                <w:rFonts w:eastAsia="Times New Roman" w:cstheme="minorHAnsi"/>
                <w:color w:val="000000"/>
                <w:sz w:val="24"/>
                <w:szCs w:val="24"/>
                <w:lang w:eastAsia="en-IN"/>
              </w:rPr>
            </w:pPr>
            <w:r>
              <w:rPr>
                <w:rFonts w:eastAsia="Times New Roman" w:cstheme="minorHAnsi"/>
                <w:color w:val="000000"/>
                <w:sz w:val="24"/>
                <w:szCs w:val="24"/>
                <w:lang w:eastAsia="en-IN"/>
              </w:rPr>
              <w:t>7</w:t>
            </w:r>
          </w:p>
        </w:tc>
      </w:tr>
      <w:tr w:rsidR="00B63255" w:rsidRPr="00AE0294" w:rsidTr="00206091">
        <w:trPr>
          <w:trHeight w:val="315"/>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63255" w:rsidRPr="00AE0294" w:rsidRDefault="00B63255" w:rsidP="00B63255">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 </w:t>
            </w:r>
          </w:p>
        </w:tc>
        <w:tc>
          <w:tcPr>
            <w:tcW w:w="4285" w:type="dxa"/>
            <w:tcBorders>
              <w:top w:val="single" w:sz="4" w:space="0" w:color="auto"/>
              <w:left w:val="nil"/>
              <w:bottom w:val="single" w:sz="4" w:space="0" w:color="auto"/>
              <w:right w:val="single" w:sz="4" w:space="0" w:color="auto"/>
            </w:tcBorders>
            <w:shd w:val="clear" w:color="000000" w:fill="FFFFFF"/>
            <w:noWrap/>
            <w:vAlign w:val="center"/>
            <w:hideMark/>
          </w:tcPr>
          <w:p w:rsidR="00B63255" w:rsidRPr="00AE0294" w:rsidRDefault="00B63255" w:rsidP="00B63255">
            <w:pPr>
              <w:spacing w:after="0" w:line="240" w:lineRule="auto"/>
              <w:jc w:val="both"/>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Total</w:t>
            </w:r>
          </w:p>
        </w:tc>
        <w:tc>
          <w:tcPr>
            <w:tcW w:w="1083" w:type="dxa"/>
            <w:tcBorders>
              <w:top w:val="single" w:sz="4" w:space="0" w:color="auto"/>
              <w:left w:val="nil"/>
              <w:bottom w:val="single" w:sz="4" w:space="0" w:color="auto"/>
              <w:right w:val="single" w:sz="4" w:space="0" w:color="auto"/>
            </w:tcBorders>
            <w:shd w:val="clear" w:color="000000" w:fill="FFFFFF"/>
            <w:noWrap/>
            <w:vAlign w:val="center"/>
          </w:tcPr>
          <w:p w:rsidR="00B63255" w:rsidRPr="00AE0294" w:rsidRDefault="00F34305" w:rsidP="00B63255">
            <w:pPr>
              <w:spacing w:after="0" w:line="240" w:lineRule="auto"/>
              <w:jc w:val="center"/>
              <w:rPr>
                <w:rFonts w:eastAsia="Times New Roman" w:cstheme="minorHAnsi"/>
                <w:b/>
                <w:bCs/>
                <w:color w:val="000000"/>
                <w:sz w:val="24"/>
                <w:szCs w:val="24"/>
                <w:lang w:eastAsia="en-IN"/>
              </w:rPr>
            </w:pPr>
            <w:r>
              <w:rPr>
                <w:rFonts w:eastAsia="Times New Roman" w:cstheme="minorHAnsi"/>
                <w:b/>
                <w:bCs/>
                <w:color w:val="000000"/>
                <w:sz w:val="24"/>
                <w:szCs w:val="24"/>
                <w:lang w:eastAsia="en-IN"/>
              </w:rPr>
              <w:t>244</w:t>
            </w:r>
          </w:p>
        </w:tc>
        <w:tc>
          <w:tcPr>
            <w:tcW w:w="998" w:type="dxa"/>
            <w:tcBorders>
              <w:top w:val="single" w:sz="4" w:space="0" w:color="auto"/>
              <w:left w:val="nil"/>
              <w:bottom w:val="single" w:sz="4" w:space="0" w:color="auto"/>
              <w:right w:val="single" w:sz="4" w:space="0" w:color="auto"/>
            </w:tcBorders>
            <w:shd w:val="clear" w:color="000000" w:fill="FFFFFF"/>
            <w:noWrap/>
            <w:vAlign w:val="center"/>
          </w:tcPr>
          <w:p w:rsidR="00B63255" w:rsidRPr="00AE0294" w:rsidRDefault="00F34305" w:rsidP="00B63255">
            <w:pPr>
              <w:spacing w:after="0" w:line="240" w:lineRule="auto"/>
              <w:jc w:val="center"/>
              <w:rPr>
                <w:rFonts w:eastAsia="Times New Roman" w:cstheme="minorHAnsi"/>
                <w:b/>
                <w:bCs/>
                <w:color w:val="000000"/>
                <w:sz w:val="24"/>
                <w:szCs w:val="24"/>
                <w:lang w:eastAsia="en-IN"/>
              </w:rPr>
            </w:pPr>
            <w:r>
              <w:rPr>
                <w:rFonts w:eastAsia="Times New Roman" w:cstheme="minorHAnsi"/>
                <w:b/>
                <w:bCs/>
                <w:color w:val="000000"/>
                <w:sz w:val="24"/>
                <w:szCs w:val="24"/>
                <w:lang w:eastAsia="en-IN"/>
              </w:rPr>
              <w:t>710</w:t>
            </w:r>
          </w:p>
        </w:tc>
        <w:tc>
          <w:tcPr>
            <w:tcW w:w="960" w:type="dxa"/>
            <w:tcBorders>
              <w:top w:val="single" w:sz="4" w:space="0" w:color="auto"/>
              <w:left w:val="nil"/>
              <w:bottom w:val="single" w:sz="4" w:space="0" w:color="auto"/>
              <w:right w:val="single" w:sz="4" w:space="0" w:color="auto"/>
            </w:tcBorders>
            <w:shd w:val="clear" w:color="000000" w:fill="FFFFFF"/>
            <w:noWrap/>
            <w:vAlign w:val="center"/>
          </w:tcPr>
          <w:p w:rsidR="00B63255" w:rsidRPr="00AE0294" w:rsidRDefault="00F34305" w:rsidP="00B63255">
            <w:pPr>
              <w:spacing w:after="0" w:line="240" w:lineRule="auto"/>
              <w:jc w:val="center"/>
              <w:rPr>
                <w:rFonts w:eastAsia="Times New Roman" w:cstheme="minorHAnsi"/>
                <w:b/>
                <w:bCs/>
                <w:color w:val="000000"/>
                <w:sz w:val="24"/>
                <w:szCs w:val="24"/>
                <w:lang w:eastAsia="en-IN"/>
              </w:rPr>
            </w:pPr>
            <w:r>
              <w:rPr>
                <w:rFonts w:eastAsia="Times New Roman" w:cstheme="minorHAnsi"/>
                <w:b/>
                <w:bCs/>
                <w:color w:val="000000"/>
                <w:sz w:val="24"/>
                <w:szCs w:val="24"/>
                <w:lang w:eastAsia="en-IN"/>
              </w:rPr>
              <w:t>954</w:t>
            </w:r>
          </w:p>
        </w:tc>
      </w:tr>
    </w:tbl>
    <w:p w:rsidR="00B63255" w:rsidRPr="00AE0294" w:rsidRDefault="00B63255" w:rsidP="00B63255">
      <w:pPr>
        <w:pStyle w:val="ARRB11"/>
        <w:numPr>
          <w:ilvl w:val="0"/>
          <w:numId w:val="0"/>
        </w:numPr>
        <w:spacing w:before="0" w:line="240" w:lineRule="auto"/>
        <w:ind w:left="990"/>
        <w:rPr>
          <w:i/>
          <w:szCs w:val="24"/>
        </w:rPr>
      </w:pPr>
      <w:r w:rsidRPr="00AE0294">
        <w:rPr>
          <w:i/>
          <w:szCs w:val="24"/>
        </w:rPr>
        <w:t>*Includes AT&amp;C Loss for FY 2009-10 using actual KWh figures</w:t>
      </w:r>
      <w:r w:rsidR="0032724D" w:rsidRPr="00AE0294">
        <w:rPr>
          <w:i/>
          <w:szCs w:val="24"/>
        </w:rPr>
        <w:t xml:space="preserve"> to avoid overlapping</w:t>
      </w:r>
    </w:p>
    <w:p w:rsidR="00444D8C" w:rsidRPr="00585826" w:rsidRDefault="00A905A7" w:rsidP="00A905A7">
      <w:pPr>
        <w:pStyle w:val="ARRB11"/>
        <w:numPr>
          <w:ilvl w:val="1"/>
          <w:numId w:val="2"/>
        </w:numPr>
        <w:ind w:left="990" w:hanging="990"/>
        <w:rPr>
          <w:szCs w:val="24"/>
        </w:rPr>
      </w:pPr>
      <w:r w:rsidRPr="00585826">
        <w:rPr>
          <w:szCs w:val="24"/>
        </w:rPr>
        <w:t xml:space="preserve">Detailed computations on each of the above issues is enclosed as </w:t>
      </w:r>
      <w:r w:rsidRPr="00585826">
        <w:rPr>
          <w:b/>
          <w:szCs w:val="24"/>
        </w:rPr>
        <w:t>Annexure 3B (i)</w:t>
      </w:r>
      <w:r w:rsidRPr="00585826">
        <w:rPr>
          <w:szCs w:val="24"/>
        </w:rPr>
        <w:t xml:space="preserve"> of this Petition.</w:t>
      </w:r>
    </w:p>
    <w:p w:rsidR="00C6492A" w:rsidRPr="00AE0294" w:rsidRDefault="00C6492A" w:rsidP="00BC3A95">
      <w:pPr>
        <w:pStyle w:val="Heading1"/>
        <w:numPr>
          <w:ilvl w:val="0"/>
          <w:numId w:val="18"/>
        </w:numPr>
        <w:ind w:left="993" w:hanging="993"/>
        <w:rPr>
          <w:rFonts w:cstheme="minorHAnsi"/>
          <w:b w:val="0"/>
          <w:color w:val="000000" w:themeColor="text1"/>
          <w:szCs w:val="24"/>
        </w:rPr>
      </w:pPr>
      <w:r w:rsidRPr="00AE0294">
        <w:rPr>
          <w:rStyle w:val="Heading2Char"/>
          <w:rFonts w:asciiTheme="minorHAnsi" w:hAnsiTheme="minorHAnsi" w:cstheme="minorHAnsi"/>
          <w:b/>
          <w:sz w:val="24"/>
          <w:szCs w:val="24"/>
        </w:rPr>
        <w:t xml:space="preserve"> </w:t>
      </w:r>
      <w:bookmarkStart w:id="7" w:name="_Toc120733945"/>
      <w:r w:rsidRPr="00AE0294">
        <w:rPr>
          <w:rStyle w:val="Heading2Char"/>
          <w:rFonts w:asciiTheme="minorHAnsi" w:hAnsiTheme="minorHAnsi" w:cstheme="minorHAnsi"/>
          <w:b/>
          <w:sz w:val="24"/>
          <w:szCs w:val="24"/>
        </w:rPr>
        <w:t>Impact of the Principles decided in the Judgment on other issues</w:t>
      </w:r>
      <w:bookmarkEnd w:id="7"/>
    </w:p>
    <w:p w:rsidR="00C6492A" w:rsidRPr="00AE0294" w:rsidRDefault="00C6492A" w:rsidP="00C6492A">
      <w:pPr>
        <w:pStyle w:val="ARRB11"/>
        <w:numPr>
          <w:ilvl w:val="1"/>
          <w:numId w:val="2"/>
        </w:numPr>
        <w:ind w:left="990" w:hanging="990"/>
        <w:rPr>
          <w:color w:val="000000" w:themeColor="text1"/>
          <w:szCs w:val="24"/>
        </w:rPr>
      </w:pPr>
      <w:r w:rsidRPr="00AE0294">
        <w:rPr>
          <w:color w:val="000000" w:themeColor="text1"/>
          <w:szCs w:val="24"/>
        </w:rPr>
        <w:t>Hon’ble SC</w:t>
      </w:r>
      <w:r w:rsidR="009647DD" w:rsidRPr="00AE0294">
        <w:rPr>
          <w:color w:val="000000" w:themeColor="text1"/>
          <w:szCs w:val="24"/>
        </w:rPr>
        <w:t xml:space="preserve"> in Judgment and Order dated 18.10.2022</w:t>
      </w:r>
      <w:r w:rsidRPr="00AE0294">
        <w:rPr>
          <w:color w:val="000000" w:themeColor="text1"/>
          <w:szCs w:val="24"/>
        </w:rPr>
        <w:t xml:space="preserve"> has inter-alia categorically reaffirmed and restated the salutary principle that a truing up exercise cannot be used to reopen or rework the fundamental principles/ philosophy/rationale of the Original tariff determination. It is incorrect for the Hon’ble Commission to have a rethink on the Tariff determination principles which were applied in the original tariff determination. The true-up stage is only to be used as a comparison of the actual numbers with the projected numbers on the basis of the same principle/thought/logic as was involved in the original tariff determination. On the aforesaid principle the following issues are clear instances where the Hon’ble Commission’s true-up determination falls foul of the aforesaid principle and which need to be corrected in the current Tariff Proceedings: </w:t>
      </w:r>
    </w:p>
    <w:p w:rsidR="00F907D2" w:rsidRPr="00AE0294" w:rsidRDefault="00F907D2" w:rsidP="00C6492A">
      <w:pPr>
        <w:autoSpaceDE w:val="0"/>
        <w:autoSpaceDN w:val="0"/>
        <w:adjustRightInd w:val="0"/>
        <w:spacing w:after="0" w:line="360" w:lineRule="auto"/>
        <w:jc w:val="center"/>
        <w:rPr>
          <w:rFonts w:cstheme="minorHAnsi"/>
          <w:b/>
          <w:color w:val="000000"/>
          <w:sz w:val="24"/>
          <w:szCs w:val="24"/>
        </w:rPr>
        <w:sectPr w:rsidR="00F907D2" w:rsidRPr="00AE0294" w:rsidSect="00B45D25">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18" w:header="708" w:footer="0" w:gutter="0"/>
          <w:pgNumType w:start="202"/>
          <w:cols w:space="708"/>
          <w:docGrid w:linePitch="360"/>
        </w:sectPr>
      </w:pPr>
    </w:p>
    <w:p w:rsidR="00F72460" w:rsidRPr="00AE0294" w:rsidRDefault="00F72460" w:rsidP="00F72460">
      <w:pPr>
        <w:pStyle w:val="Caption"/>
        <w:ind w:left="644"/>
        <w:jc w:val="center"/>
        <w:rPr>
          <w:rFonts w:cstheme="minorHAnsi"/>
          <w:b/>
          <w:i w:val="0"/>
          <w:color w:val="000000" w:themeColor="text1"/>
          <w:sz w:val="24"/>
          <w:szCs w:val="24"/>
        </w:rPr>
      </w:pPr>
      <w:bookmarkStart w:id="8" w:name="_Toc120734112"/>
      <w:r w:rsidRPr="00AE0294">
        <w:rPr>
          <w:rFonts w:cstheme="minorHAnsi"/>
          <w:b/>
          <w:i w:val="0"/>
          <w:color w:val="000000" w:themeColor="text1"/>
          <w:sz w:val="24"/>
          <w:szCs w:val="24"/>
        </w:rPr>
        <w:lastRenderedPageBreak/>
        <w:t xml:space="preserve">Table 3B </w:t>
      </w:r>
      <w:r w:rsidRPr="00AE0294">
        <w:rPr>
          <w:rFonts w:cstheme="minorHAnsi"/>
          <w:b/>
          <w:i w:val="0"/>
          <w:color w:val="000000" w:themeColor="text1"/>
          <w:sz w:val="24"/>
          <w:szCs w:val="24"/>
        </w:rPr>
        <w:fldChar w:fldCharType="begin"/>
      </w:r>
      <w:r w:rsidRPr="00AE0294">
        <w:rPr>
          <w:rFonts w:cstheme="minorHAnsi"/>
          <w:b/>
          <w:i w:val="0"/>
          <w:color w:val="000000" w:themeColor="text1"/>
          <w:sz w:val="24"/>
          <w:szCs w:val="24"/>
        </w:rPr>
        <w:instrText xml:space="preserve"> SEQ Table_3B \* ARABIC </w:instrText>
      </w:r>
      <w:r w:rsidRPr="00AE0294">
        <w:rPr>
          <w:rFonts w:cstheme="minorHAnsi"/>
          <w:b/>
          <w:i w:val="0"/>
          <w:color w:val="000000" w:themeColor="text1"/>
          <w:sz w:val="24"/>
          <w:szCs w:val="24"/>
        </w:rPr>
        <w:fldChar w:fldCharType="separate"/>
      </w:r>
      <w:r w:rsidR="006D2E03">
        <w:rPr>
          <w:rFonts w:cstheme="minorHAnsi"/>
          <w:b/>
          <w:i w:val="0"/>
          <w:noProof/>
          <w:color w:val="000000" w:themeColor="text1"/>
          <w:sz w:val="24"/>
          <w:szCs w:val="24"/>
        </w:rPr>
        <w:t>4</w:t>
      </w:r>
      <w:r w:rsidRPr="00AE0294">
        <w:rPr>
          <w:rFonts w:cstheme="minorHAnsi"/>
          <w:b/>
          <w:i w:val="0"/>
          <w:color w:val="000000" w:themeColor="text1"/>
          <w:sz w:val="24"/>
          <w:szCs w:val="24"/>
        </w:rPr>
        <w:fldChar w:fldCharType="end"/>
      </w:r>
      <w:r w:rsidRPr="00AE0294">
        <w:rPr>
          <w:rFonts w:cstheme="minorHAnsi"/>
          <w:b/>
          <w:i w:val="0"/>
          <w:color w:val="000000" w:themeColor="text1"/>
          <w:sz w:val="24"/>
          <w:szCs w:val="24"/>
        </w:rPr>
        <w:t>: Issue wise impact of the p</w:t>
      </w:r>
      <w:r w:rsidRPr="00AE0294">
        <w:rPr>
          <w:rFonts w:cstheme="minorHAnsi"/>
          <w:b/>
          <w:bCs/>
          <w:i w:val="0"/>
          <w:color w:val="000000" w:themeColor="text1"/>
          <w:sz w:val="24"/>
          <w:szCs w:val="24"/>
          <w:lang w:val="en-US"/>
        </w:rPr>
        <w:t>rinciples decided in the Judgment</w:t>
      </w:r>
      <w:bookmarkEnd w:id="8"/>
      <w:r w:rsidRPr="00AE0294">
        <w:rPr>
          <w:rFonts w:cstheme="minorHAnsi"/>
          <w:b/>
          <w:bCs/>
          <w:i w:val="0"/>
          <w:color w:val="000000" w:themeColor="text1"/>
          <w:sz w:val="24"/>
          <w:szCs w:val="24"/>
          <w:lang w:val="en-US"/>
        </w:rPr>
        <w:t xml:space="preserve"> </w:t>
      </w:r>
      <w:r w:rsidR="00B01EAF">
        <w:rPr>
          <w:rFonts w:cstheme="minorHAnsi"/>
          <w:b/>
          <w:bCs/>
          <w:i w:val="0"/>
          <w:color w:val="000000" w:themeColor="text1"/>
          <w:sz w:val="24"/>
          <w:szCs w:val="24"/>
          <w:lang w:val="en-US"/>
        </w:rPr>
        <w:t>dated 18.10.2022</w:t>
      </w:r>
    </w:p>
    <w:tbl>
      <w:tblPr>
        <w:tblW w:w="14702" w:type="dxa"/>
        <w:tblLayout w:type="fixed"/>
        <w:tblLook w:val="00A0" w:firstRow="1" w:lastRow="0" w:firstColumn="1" w:lastColumn="0" w:noHBand="0" w:noVBand="0"/>
      </w:tblPr>
      <w:tblGrid>
        <w:gridCol w:w="745"/>
        <w:gridCol w:w="2340"/>
        <w:gridCol w:w="4111"/>
        <w:gridCol w:w="3969"/>
        <w:gridCol w:w="3537"/>
      </w:tblGrid>
      <w:tr w:rsidR="00657C48" w:rsidRPr="00AE0294" w:rsidTr="009249FD">
        <w:trPr>
          <w:trHeight w:val="970"/>
          <w:tblHeader/>
        </w:trPr>
        <w:tc>
          <w:tcPr>
            <w:tcW w:w="745" w:type="dxa"/>
            <w:tcBorders>
              <w:top w:val="single" w:sz="6" w:space="0" w:color="000000"/>
              <w:left w:val="single" w:sz="6" w:space="0" w:color="000000"/>
              <w:bottom w:val="single" w:sz="6" w:space="0" w:color="000000"/>
              <w:right w:val="single" w:sz="6" w:space="0" w:color="000000"/>
            </w:tcBorders>
            <w:vAlign w:val="center"/>
          </w:tcPr>
          <w:p w:rsidR="00C6492A" w:rsidRPr="00AE0294" w:rsidRDefault="00C6492A" w:rsidP="00C6492A">
            <w:pPr>
              <w:autoSpaceDE w:val="0"/>
              <w:autoSpaceDN w:val="0"/>
              <w:adjustRightInd w:val="0"/>
              <w:spacing w:after="0" w:line="360" w:lineRule="auto"/>
              <w:jc w:val="center"/>
              <w:rPr>
                <w:rFonts w:cstheme="minorHAnsi"/>
                <w:b/>
                <w:color w:val="000000"/>
                <w:sz w:val="24"/>
                <w:szCs w:val="24"/>
              </w:rPr>
            </w:pPr>
            <w:r w:rsidRPr="00AE0294">
              <w:rPr>
                <w:rFonts w:cstheme="minorHAnsi"/>
                <w:b/>
                <w:color w:val="000000"/>
                <w:sz w:val="24"/>
                <w:szCs w:val="24"/>
              </w:rPr>
              <w:t>S.No.</w:t>
            </w:r>
          </w:p>
        </w:tc>
        <w:tc>
          <w:tcPr>
            <w:tcW w:w="2340" w:type="dxa"/>
            <w:tcBorders>
              <w:top w:val="single" w:sz="6" w:space="0" w:color="000000"/>
              <w:left w:val="single" w:sz="6" w:space="0" w:color="000000"/>
              <w:bottom w:val="single" w:sz="6" w:space="0" w:color="000000"/>
              <w:right w:val="single" w:sz="6" w:space="0" w:color="000000"/>
            </w:tcBorders>
            <w:vAlign w:val="center"/>
          </w:tcPr>
          <w:p w:rsidR="00C6492A" w:rsidRPr="00AE0294" w:rsidRDefault="00C6492A" w:rsidP="00C6492A">
            <w:pPr>
              <w:autoSpaceDE w:val="0"/>
              <w:autoSpaceDN w:val="0"/>
              <w:adjustRightInd w:val="0"/>
              <w:spacing w:after="0" w:line="360" w:lineRule="auto"/>
              <w:jc w:val="center"/>
              <w:rPr>
                <w:rFonts w:cstheme="minorHAnsi"/>
                <w:b/>
                <w:color w:val="000000"/>
                <w:sz w:val="24"/>
                <w:szCs w:val="24"/>
              </w:rPr>
            </w:pPr>
            <w:r w:rsidRPr="00AE0294">
              <w:rPr>
                <w:rFonts w:cstheme="minorHAnsi"/>
                <w:b/>
                <w:color w:val="000000"/>
                <w:sz w:val="24"/>
                <w:szCs w:val="24"/>
              </w:rPr>
              <w:t>Issue</w:t>
            </w:r>
          </w:p>
        </w:tc>
        <w:tc>
          <w:tcPr>
            <w:tcW w:w="4111" w:type="dxa"/>
            <w:tcBorders>
              <w:top w:val="single" w:sz="6" w:space="0" w:color="000000"/>
              <w:left w:val="single" w:sz="6" w:space="0" w:color="000000"/>
              <w:bottom w:val="single" w:sz="6" w:space="0" w:color="000000"/>
              <w:right w:val="single" w:sz="6" w:space="0" w:color="000000"/>
            </w:tcBorders>
            <w:vAlign w:val="center"/>
          </w:tcPr>
          <w:p w:rsidR="00C6492A" w:rsidRPr="00AE0294" w:rsidRDefault="00C6492A" w:rsidP="00C6492A">
            <w:pPr>
              <w:autoSpaceDE w:val="0"/>
              <w:autoSpaceDN w:val="0"/>
              <w:adjustRightInd w:val="0"/>
              <w:spacing w:after="0" w:line="360" w:lineRule="auto"/>
              <w:jc w:val="center"/>
              <w:rPr>
                <w:rFonts w:cstheme="minorHAnsi"/>
                <w:b/>
                <w:color w:val="000000"/>
                <w:sz w:val="24"/>
                <w:szCs w:val="24"/>
              </w:rPr>
            </w:pPr>
            <w:r w:rsidRPr="00AE0294">
              <w:rPr>
                <w:rFonts w:cstheme="minorHAnsi"/>
                <w:b/>
                <w:color w:val="000000"/>
                <w:sz w:val="24"/>
                <w:szCs w:val="24"/>
              </w:rPr>
              <w:t>Treatment in Original Tariff Order</w:t>
            </w:r>
          </w:p>
        </w:tc>
        <w:tc>
          <w:tcPr>
            <w:tcW w:w="3969" w:type="dxa"/>
            <w:tcBorders>
              <w:top w:val="single" w:sz="6" w:space="0" w:color="000000"/>
              <w:left w:val="single" w:sz="6" w:space="0" w:color="000000"/>
              <w:bottom w:val="single" w:sz="6" w:space="0" w:color="000000"/>
              <w:right w:val="single" w:sz="6" w:space="0" w:color="000000"/>
            </w:tcBorders>
            <w:vAlign w:val="center"/>
          </w:tcPr>
          <w:p w:rsidR="00C6492A" w:rsidRPr="00AE0294" w:rsidRDefault="00C6492A" w:rsidP="00C6492A">
            <w:pPr>
              <w:autoSpaceDE w:val="0"/>
              <w:autoSpaceDN w:val="0"/>
              <w:adjustRightInd w:val="0"/>
              <w:spacing w:after="0" w:line="360" w:lineRule="auto"/>
              <w:jc w:val="center"/>
              <w:rPr>
                <w:rFonts w:cstheme="minorHAnsi"/>
                <w:b/>
                <w:color w:val="000000"/>
                <w:sz w:val="24"/>
                <w:szCs w:val="24"/>
              </w:rPr>
            </w:pPr>
            <w:r w:rsidRPr="00AE0294">
              <w:rPr>
                <w:rFonts w:cstheme="minorHAnsi"/>
                <w:b/>
                <w:color w:val="000000"/>
                <w:sz w:val="24"/>
                <w:szCs w:val="24"/>
              </w:rPr>
              <w:t>Treatment in True-up Order /Re-true-up Order</w:t>
            </w:r>
          </w:p>
        </w:tc>
        <w:tc>
          <w:tcPr>
            <w:tcW w:w="3537" w:type="dxa"/>
            <w:tcBorders>
              <w:top w:val="single" w:sz="6" w:space="0" w:color="000000"/>
              <w:left w:val="single" w:sz="6" w:space="0" w:color="000000"/>
              <w:bottom w:val="single" w:sz="6" w:space="0" w:color="000000"/>
              <w:right w:val="single" w:sz="6" w:space="0" w:color="000000"/>
            </w:tcBorders>
            <w:vAlign w:val="center"/>
          </w:tcPr>
          <w:p w:rsidR="00C6492A" w:rsidRPr="00AE0294" w:rsidRDefault="00C6492A" w:rsidP="00C6492A">
            <w:pPr>
              <w:autoSpaceDE w:val="0"/>
              <w:autoSpaceDN w:val="0"/>
              <w:adjustRightInd w:val="0"/>
              <w:spacing w:after="0" w:line="360" w:lineRule="auto"/>
              <w:jc w:val="center"/>
              <w:rPr>
                <w:rFonts w:cstheme="minorHAnsi"/>
                <w:b/>
                <w:color w:val="000000"/>
                <w:sz w:val="24"/>
                <w:szCs w:val="24"/>
              </w:rPr>
            </w:pPr>
            <w:r w:rsidRPr="00AE0294">
              <w:rPr>
                <w:rFonts w:cstheme="minorHAnsi"/>
                <w:b/>
                <w:color w:val="000000"/>
                <w:sz w:val="24"/>
                <w:szCs w:val="24"/>
              </w:rPr>
              <w:t>Financial Impact to be now granted along with carrying cost</w:t>
            </w:r>
          </w:p>
        </w:tc>
      </w:tr>
      <w:tr w:rsidR="00657C48" w:rsidRPr="00AE0294" w:rsidTr="009249FD">
        <w:trPr>
          <w:trHeight w:val="970"/>
        </w:trPr>
        <w:tc>
          <w:tcPr>
            <w:tcW w:w="745" w:type="dxa"/>
            <w:tcBorders>
              <w:top w:val="single" w:sz="6" w:space="0" w:color="000000"/>
              <w:left w:val="single" w:sz="6" w:space="0" w:color="000000"/>
              <w:bottom w:val="single" w:sz="6" w:space="0" w:color="000000"/>
              <w:right w:val="single" w:sz="6" w:space="0" w:color="000000"/>
            </w:tcBorders>
          </w:tcPr>
          <w:p w:rsidR="00C6492A" w:rsidRPr="00AE0294" w:rsidRDefault="00C6492A" w:rsidP="00BC3A95">
            <w:pPr>
              <w:pStyle w:val="ListParagraph"/>
              <w:widowControl/>
              <w:numPr>
                <w:ilvl w:val="0"/>
                <w:numId w:val="9"/>
              </w:numPr>
              <w:autoSpaceDE w:val="0"/>
              <w:autoSpaceDN w:val="0"/>
              <w:spacing w:line="360" w:lineRule="auto"/>
              <w:textAlignment w:val="auto"/>
              <w:rPr>
                <w:rFonts w:asciiTheme="minorHAnsi" w:hAnsiTheme="minorHAnsi" w:cstheme="minorHAnsi"/>
                <w:color w:val="000000"/>
              </w:rPr>
            </w:pPr>
          </w:p>
        </w:tc>
        <w:tc>
          <w:tcPr>
            <w:tcW w:w="2340" w:type="dxa"/>
            <w:tcBorders>
              <w:top w:val="single" w:sz="6" w:space="0" w:color="000000"/>
              <w:left w:val="single" w:sz="6" w:space="0" w:color="000000"/>
              <w:bottom w:val="single" w:sz="6" w:space="0" w:color="000000"/>
              <w:right w:val="single" w:sz="6" w:space="0" w:color="000000"/>
            </w:tcBorders>
          </w:tcPr>
          <w:p w:rsidR="00C6492A" w:rsidRPr="00AE0294" w:rsidRDefault="00C6492A" w:rsidP="00C6492A">
            <w:pPr>
              <w:autoSpaceDE w:val="0"/>
              <w:autoSpaceDN w:val="0"/>
              <w:adjustRightInd w:val="0"/>
              <w:spacing w:after="0" w:line="360" w:lineRule="auto"/>
              <w:jc w:val="both"/>
              <w:rPr>
                <w:rFonts w:cstheme="minorHAnsi"/>
                <w:color w:val="000000"/>
                <w:sz w:val="24"/>
                <w:szCs w:val="24"/>
              </w:rPr>
            </w:pPr>
            <w:r w:rsidRPr="00AE0294">
              <w:rPr>
                <w:rFonts w:cstheme="minorHAnsi"/>
                <w:color w:val="000000"/>
                <w:sz w:val="24"/>
                <w:szCs w:val="24"/>
              </w:rPr>
              <w:t>Non-Allowance of O&amp;M expenses for FY 2019-20 as per Regulations</w:t>
            </w:r>
          </w:p>
        </w:tc>
        <w:tc>
          <w:tcPr>
            <w:tcW w:w="4111" w:type="dxa"/>
            <w:tcBorders>
              <w:top w:val="single" w:sz="6" w:space="0" w:color="000000"/>
              <w:left w:val="single" w:sz="6" w:space="0" w:color="000000"/>
              <w:bottom w:val="single" w:sz="6" w:space="0" w:color="000000"/>
              <w:right w:val="single" w:sz="6" w:space="0" w:color="000000"/>
            </w:tcBorders>
          </w:tcPr>
          <w:p w:rsidR="00C6492A" w:rsidRPr="00AE0294" w:rsidRDefault="00C6492A" w:rsidP="00BC3A95">
            <w:pPr>
              <w:pStyle w:val="ListParagraph"/>
              <w:numPr>
                <w:ilvl w:val="0"/>
                <w:numId w:val="11"/>
              </w:numPr>
              <w:autoSpaceDE w:val="0"/>
              <w:autoSpaceDN w:val="0"/>
              <w:spacing w:line="360" w:lineRule="auto"/>
              <w:ind w:left="398"/>
              <w:rPr>
                <w:rFonts w:asciiTheme="minorHAnsi" w:hAnsiTheme="minorHAnsi" w:cstheme="minorHAnsi"/>
                <w:bCs/>
                <w:iCs/>
                <w:color w:val="000000"/>
                <w:lang w:val="en-US"/>
              </w:rPr>
            </w:pPr>
            <w:r w:rsidRPr="00AE0294">
              <w:rPr>
                <w:rFonts w:asciiTheme="minorHAnsi" w:hAnsiTheme="minorHAnsi" w:cstheme="minorHAnsi"/>
                <w:bCs/>
                <w:color w:val="000000"/>
              </w:rPr>
              <w:t xml:space="preserve">Hon’ble Commission vide its Order dated 31.07.2019 (Para 4.190 Table 4.38) </w:t>
            </w:r>
            <w:r w:rsidRPr="00AE0294">
              <w:rPr>
                <w:rFonts w:asciiTheme="minorHAnsi" w:hAnsiTheme="minorHAnsi" w:cstheme="minorHAnsi"/>
                <w:bCs/>
                <w:iCs/>
                <w:color w:val="000000"/>
                <w:lang w:val="en-US"/>
              </w:rPr>
              <w:t xml:space="preserve">has </w:t>
            </w:r>
            <w:r w:rsidRPr="00AE0294">
              <w:rPr>
                <w:rFonts w:asciiTheme="minorHAnsi" w:hAnsiTheme="minorHAnsi" w:cstheme="minorHAnsi"/>
                <w:b/>
                <w:bCs/>
                <w:iCs/>
                <w:color w:val="000000"/>
                <w:u w:val="single"/>
                <w:lang w:val="en-US"/>
              </w:rPr>
              <w:t xml:space="preserve">approved O&amp;M expenses </w:t>
            </w:r>
            <w:r w:rsidR="00444D8C" w:rsidRPr="00AE0294">
              <w:rPr>
                <w:rFonts w:asciiTheme="minorHAnsi" w:hAnsiTheme="minorHAnsi" w:cstheme="minorHAnsi"/>
                <w:b/>
                <w:bCs/>
                <w:iCs/>
                <w:color w:val="000000"/>
                <w:u w:val="single"/>
                <w:lang w:val="en-US"/>
              </w:rPr>
              <w:t>on normative basis</w:t>
            </w:r>
            <w:r w:rsidR="009249FD" w:rsidRPr="00AE0294">
              <w:rPr>
                <w:rFonts w:asciiTheme="minorHAnsi" w:hAnsiTheme="minorHAnsi" w:cstheme="minorHAnsi"/>
                <w:b/>
                <w:bCs/>
                <w:iCs/>
                <w:color w:val="000000"/>
                <w:u w:val="single"/>
                <w:lang w:val="en-US"/>
              </w:rPr>
              <w:t xml:space="preserve"> </w:t>
            </w:r>
            <w:r w:rsidR="00692AB1" w:rsidRPr="00AE0294">
              <w:rPr>
                <w:rFonts w:asciiTheme="minorHAnsi" w:hAnsiTheme="minorHAnsi" w:cstheme="minorHAnsi"/>
                <w:b/>
                <w:bCs/>
                <w:iCs/>
                <w:color w:val="000000"/>
                <w:u w:val="single"/>
                <w:lang w:val="en-US"/>
              </w:rPr>
              <w:t xml:space="preserve">for FY 2019-20 </w:t>
            </w:r>
            <w:r w:rsidRPr="00AE0294">
              <w:rPr>
                <w:rFonts w:asciiTheme="minorHAnsi" w:hAnsiTheme="minorHAnsi" w:cstheme="minorHAnsi"/>
                <w:bCs/>
                <w:iCs/>
                <w:color w:val="000000"/>
                <w:lang w:val="en-US"/>
              </w:rPr>
              <w:t xml:space="preserve">as per Regulation 23 of Business Plan Regulations, 2017 specified by the Hon’ble Commission. </w:t>
            </w:r>
          </w:p>
        </w:tc>
        <w:tc>
          <w:tcPr>
            <w:tcW w:w="3969" w:type="dxa"/>
            <w:tcBorders>
              <w:top w:val="single" w:sz="6" w:space="0" w:color="000000"/>
              <w:left w:val="single" w:sz="6" w:space="0" w:color="000000"/>
              <w:bottom w:val="single" w:sz="6" w:space="0" w:color="000000"/>
              <w:right w:val="single" w:sz="6" w:space="0" w:color="000000"/>
            </w:tcBorders>
          </w:tcPr>
          <w:p w:rsidR="00C6492A" w:rsidRPr="00AE0294" w:rsidRDefault="00C6492A" w:rsidP="00BC3A95">
            <w:pPr>
              <w:pStyle w:val="ListParagraph"/>
              <w:numPr>
                <w:ilvl w:val="0"/>
                <w:numId w:val="12"/>
              </w:numPr>
              <w:autoSpaceDE w:val="0"/>
              <w:autoSpaceDN w:val="0"/>
              <w:spacing w:line="360" w:lineRule="auto"/>
              <w:ind w:left="411"/>
              <w:rPr>
                <w:rFonts w:asciiTheme="minorHAnsi" w:hAnsiTheme="minorHAnsi" w:cstheme="minorHAnsi"/>
                <w:bCs/>
                <w:iCs/>
                <w:lang w:val="en-US"/>
              </w:rPr>
            </w:pPr>
            <w:r w:rsidRPr="00AE0294">
              <w:rPr>
                <w:rFonts w:asciiTheme="minorHAnsi" w:hAnsiTheme="minorHAnsi" w:cstheme="minorHAnsi"/>
                <w:color w:val="000000"/>
              </w:rPr>
              <w:t>Hon’ble Commission, while truing up the FY 2019-20, at Para 3.212 in its Order dated 30.09.202</w:t>
            </w:r>
            <w:r w:rsidR="00692AB1" w:rsidRPr="00AE0294">
              <w:rPr>
                <w:rFonts w:asciiTheme="minorHAnsi" w:hAnsiTheme="minorHAnsi" w:cstheme="minorHAnsi"/>
                <w:color w:val="000000"/>
              </w:rPr>
              <w:t xml:space="preserve">1 has arbitrarily </w:t>
            </w:r>
            <w:r w:rsidR="00692AB1" w:rsidRPr="00AE0294">
              <w:rPr>
                <w:rFonts w:asciiTheme="minorHAnsi" w:hAnsiTheme="minorHAnsi" w:cstheme="minorHAnsi"/>
                <w:b/>
                <w:color w:val="000000"/>
                <w:u w:val="single"/>
              </w:rPr>
              <w:t xml:space="preserve">approved O&amp;M Expenses </w:t>
            </w:r>
            <w:r w:rsidRPr="00AE0294">
              <w:rPr>
                <w:rFonts w:asciiTheme="minorHAnsi" w:hAnsiTheme="minorHAnsi" w:cstheme="minorHAnsi"/>
                <w:b/>
                <w:color w:val="000000"/>
                <w:u w:val="single"/>
              </w:rPr>
              <w:t>on actual basis</w:t>
            </w:r>
            <w:r w:rsidR="009249FD" w:rsidRPr="00AE0294">
              <w:rPr>
                <w:rFonts w:asciiTheme="minorHAnsi" w:hAnsiTheme="minorHAnsi" w:cstheme="minorHAnsi"/>
                <w:b/>
                <w:color w:val="000000"/>
                <w:u w:val="single"/>
              </w:rPr>
              <w:t xml:space="preserve"> </w:t>
            </w:r>
            <w:r w:rsidRPr="00AE0294">
              <w:rPr>
                <w:rFonts w:asciiTheme="minorHAnsi" w:hAnsiTheme="minorHAnsi" w:cstheme="minorHAnsi"/>
                <w:b/>
                <w:color w:val="000000"/>
                <w:u w:val="single"/>
              </w:rPr>
              <w:t xml:space="preserve">instead of allowing </w:t>
            </w:r>
            <w:r w:rsidR="00444D8C" w:rsidRPr="00AE0294">
              <w:rPr>
                <w:rFonts w:asciiTheme="minorHAnsi" w:hAnsiTheme="minorHAnsi" w:cstheme="minorHAnsi"/>
                <w:b/>
                <w:color w:val="000000"/>
                <w:u w:val="single"/>
              </w:rPr>
              <w:t xml:space="preserve">on </w:t>
            </w:r>
            <w:r w:rsidRPr="00AE0294">
              <w:rPr>
                <w:rFonts w:asciiTheme="minorHAnsi" w:hAnsiTheme="minorHAnsi" w:cstheme="minorHAnsi"/>
                <w:b/>
                <w:color w:val="000000"/>
                <w:u w:val="single"/>
              </w:rPr>
              <w:t xml:space="preserve"> no</w:t>
            </w:r>
            <w:r w:rsidR="00444D8C" w:rsidRPr="00AE0294">
              <w:rPr>
                <w:rFonts w:asciiTheme="minorHAnsi" w:hAnsiTheme="minorHAnsi" w:cstheme="minorHAnsi"/>
                <w:b/>
                <w:color w:val="000000"/>
                <w:u w:val="single"/>
              </w:rPr>
              <w:t>rmative basis</w:t>
            </w:r>
            <w:r w:rsidR="00444D8C" w:rsidRPr="00AE0294">
              <w:rPr>
                <w:rFonts w:asciiTheme="minorHAnsi" w:hAnsiTheme="minorHAnsi" w:cstheme="minorHAnsi"/>
                <w:color w:val="000000"/>
              </w:rPr>
              <w:t>.</w:t>
            </w:r>
          </w:p>
        </w:tc>
        <w:tc>
          <w:tcPr>
            <w:tcW w:w="3537" w:type="dxa"/>
            <w:tcBorders>
              <w:top w:val="single" w:sz="6" w:space="0" w:color="000000"/>
              <w:left w:val="single" w:sz="6" w:space="0" w:color="000000"/>
              <w:bottom w:val="single" w:sz="6" w:space="0" w:color="000000"/>
              <w:right w:val="single" w:sz="6" w:space="0" w:color="000000"/>
            </w:tcBorders>
          </w:tcPr>
          <w:p w:rsidR="00C6492A" w:rsidRPr="00AE0294" w:rsidRDefault="00444D8C" w:rsidP="00BC3A95">
            <w:pPr>
              <w:pStyle w:val="ListParagraph"/>
              <w:numPr>
                <w:ilvl w:val="0"/>
                <w:numId w:val="12"/>
              </w:numPr>
              <w:autoSpaceDE w:val="0"/>
              <w:autoSpaceDN w:val="0"/>
              <w:spacing w:line="360" w:lineRule="auto"/>
              <w:ind w:left="411"/>
              <w:rPr>
                <w:rFonts w:asciiTheme="minorHAnsi" w:hAnsiTheme="minorHAnsi" w:cstheme="minorHAnsi"/>
                <w:color w:val="000000"/>
              </w:rPr>
            </w:pPr>
            <w:r w:rsidRPr="00AE0294">
              <w:rPr>
                <w:rFonts w:asciiTheme="minorHAnsi" w:hAnsiTheme="minorHAnsi" w:cstheme="minorHAnsi"/>
              </w:rPr>
              <w:t>T</w:t>
            </w:r>
            <w:r w:rsidR="00C6492A" w:rsidRPr="00AE0294">
              <w:rPr>
                <w:rFonts w:asciiTheme="minorHAnsi" w:hAnsiTheme="minorHAnsi" w:cstheme="minorHAnsi"/>
              </w:rPr>
              <w:t xml:space="preserve">he Petitioner requests the Hon’ble Commission to allow ₹ 269.8 Crores </w:t>
            </w:r>
            <w:r w:rsidRPr="00AE0294">
              <w:rPr>
                <w:rFonts w:asciiTheme="minorHAnsi" w:hAnsiTheme="minorHAnsi" w:cstheme="minorHAnsi"/>
              </w:rPr>
              <w:t xml:space="preserve">(including carrying cost) which is the difference between the normative and actual treatment. </w:t>
            </w:r>
          </w:p>
          <w:p w:rsidR="00444D8C" w:rsidRPr="00AE0294" w:rsidRDefault="00771F44" w:rsidP="00BC3A95">
            <w:pPr>
              <w:pStyle w:val="ListParagraph"/>
              <w:numPr>
                <w:ilvl w:val="0"/>
                <w:numId w:val="12"/>
              </w:numPr>
              <w:autoSpaceDE w:val="0"/>
              <w:autoSpaceDN w:val="0"/>
              <w:spacing w:line="360" w:lineRule="auto"/>
              <w:ind w:left="411"/>
              <w:rPr>
                <w:rFonts w:asciiTheme="minorHAnsi" w:hAnsiTheme="minorHAnsi" w:cstheme="minorHAnsi"/>
                <w:color w:val="000000"/>
              </w:rPr>
            </w:pPr>
            <w:r w:rsidRPr="00AE0294">
              <w:rPr>
                <w:rFonts w:asciiTheme="minorHAnsi" w:hAnsiTheme="minorHAnsi" w:cstheme="minorHAnsi"/>
                <w:color w:val="000000"/>
              </w:rPr>
              <w:t xml:space="preserve">The detailed computation is enclosed as </w:t>
            </w:r>
            <w:r w:rsidRPr="00AE0294">
              <w:rPr>
                <w:rFonts w:asciiTheme="minorHAnsi" w:hAnsiTheme="minorHAnsi" w:cstheme="minorHAnsi"/>
                <w:b/>
                <w:color w:val="000000"/>
              </w:rPr>
              <w:t>Annexure – 3B(ii)</w:t>
            </w:r>
            <w:r w:rsidRPr="00AE0294">
              <w:rPr>
                <w:rFonts w:asciiTheme="minorHAnsi" w:hAnsiTheme="minorHAnsi" w:cstheme="minorHAnsi"/>
                <w:color w:val="000000"/>
              </w:rPr>
              <w:t>.</w:t>
            </w:r>
          </w:p>
        </w:tc>
      </w:tr>
      <w:tr w:rsidR="00657C48" w:rsidRPr="00AE0294" w:rsidTr="009249FD">
        <w:trPr>
          <w:trHeight w:val="970"/>
        </w:trPr>
        <w:tc>
          <w:tcPr>
            <w:tcW w:w="745" w:type="dxa"/>
            <w:tcBorders>
              <w:top w:val="single" w:sz="6" w:space="0" w:color="000000"/>
              <w:left w:val="single" w:sz="6" w:space="0" w:color="000000"/>
              <w:bottom w:val="single" w:sz="6" w:space="0" w:color="000000"/>
              <w:right w:val="single" w:sz="6" w:space="0" w:color="000000"/>
            </w:tcBorders>
          </w:tcPr>
          <w:p w:rsidR="00C6492A" w:rsidRPr="00AE0294" w:rsidRDefault="00C6492A" w:rsidP="00BC3A95">
            <w:pPr>
              <w:pStyle w:val="ListParagraph"/>
              <w:widowControl/>
              <w:numPr>
                <w:ilvl w:val="0"/>
                <w:numId w:val="9"/>
              </w:numPr>
              <w:autoSpaceDE w:val="0"/>
              <w:autoSpaceDN w:val="0"/>
              <w:spacing w:line="360" w:lineRule="auto"/>
              <w:textAlignment w:val="auto"/>
              <w:rPr>
                <w:rFonts w:asciiTheme="minorHAnsi" w:hAnsiTheme="minorHAnsi" w:cstheme="minorHAnsi"/>
                <w:color w:val="000000"/>
              </w:rPr>
            </w:pPr>
          </w:p>
        </w:tc>
        <w:tc>
          <w:tcPr>
            <w:tcW w:w="2340" w:type="dxa"/>
            <w:tcBorders>
              <w:top w:val="single" w:sz="6" w:space="0" w:color="000000"/>
              <w:left w:val="single" w:sz="6" w:space="0" w:color="000000"/>
              <w:bottom w:val="single" w:sz="6" w:space="0" w:color="000000"/>
              <w:right w:val="single" w:sz="6" w:space="0" w:color="000000"/>
            </w:tcBorders>
          </w:tcPr>
          <w:p w:rsidR="00C6492A" w:rsidRPr="00AE0294" w:rsidRDefault="00C6492A" w:rsidP="00C6492A">
            <w:pPr>
              <w:autoSpaceDE w:val="0"/>
              <w:autoSpaceDN w:val="0"/>
              <w:adjustRightInd w:val="0"/>
              <w:spacing w:after="0" w:line="360" w:lineRule="auto"/>
              <w:jc w:val="both"/>
              <w:rPr>
                <w:rFonts w:cstheme="minorHAnsi"/>
                <w:color w:val="000000"/>
                <w:sz w:val="24"/>
                <w:szCs w:val="24"/>
              </w:rPr>
            </w:pPr>
            <w:r w:rsidRPr="00AE0294">
              <w:rPr>
                <w:rFonts w:cstheme="minorHAnsi"/>
                <w:color w:val="000000"/>
                <w:sz w:val="24"/>
                <w:szCs w:val="24"/>
              </w:rPr>
              <w:t>Operation and Maintenance (O&amp;M) Expenses for FY 2018-19</w:t>
            </w:r>
          </w:p>
        </w:tc>
        <w:tc>
          <w:tcPr>
            <w:tcW w:w="4111" w:type="dxa"/>
            <w:tcBorders>
              <w:top w:val="single" w:sz="6" w:space="0" w:color="000000"/>
              <w:left w:val="single" w:sz="6" w:space="0" w:color="000000"/>
              <w:bottom w:val="single" w:sz="6" w:space="0" w:color="000000"/>
              <w:right w:val="single" w:sz="6" w:space="0" w:color="000000"/>
            </w:tcBorders>
          </w:tcPr>
          <w:p w:rsidR="00C6492A" w:rsidRPr="00AE0294" w:rsidRDefault="00C6492A" w:rsidP="00BC3A95">
            <w:pPr>
              <w:pStyle w:val="ListParagraph"/>
              <w:numPr>
                <w:ilvl w:val="0"/>
                <w:numId w:val="13"/>
              </w:numPr>
              <w:autoSpaceDE w:val="0"/>
              <w:autoSpaceDN w:val="0"/>
              <w:spacing w:line="360" w:lineRule="auto"/>
              <w:ind w:left="398"/>
              <w:rPr>
                <w:rFonts w:asciiTheme="minorHAnsi" w:hAnsiTheme="minorHAnsi" w:cstheme="minorHAnsi"/>
                <w:bCs/>
                <w:iCs/>
                <w:color w:val="000000"/>
                <w:lang w:val="en-US"/>
              </w:rPr>
            </w:pPr>
            <w:r w:rsidRPr="00AE0294">
              <w:rPr>
                <w:rFonts w:asciiTheme="minorHAnsi" w:hAnsiTheme="minorHAnsi" w:cstheme="minorHAnsi"/>
                <w:bCs/>
                <w:color w:val="000000"/>
              </w:rPr>
              <w:t xml:space="preserve">Hon’ble Commission vide its Order dated 28.03.2018 (Para 4.87 to 4.88, Table 197) </w:t>
            </w:r>
            <w:r w:rsidRPr="00AE0294">
              <w:rPr>
                <w:rFonts w:asciiTheme="minorHAnsi" w:hAnsiTheme="minorHAnsi" w:cstheme="minorHAnsi"/>
                <w:bCs/>
                <w:iCs/>
                <w:color w:val="000000"/>
                <w:lang w:val="en-US"/>
              </w:rPr>
              <w:t xml:space="preserve">has </w:t>
            </w:r>
            <w:r w:rsidRPr="00AE0294">
              <w:rPr>
                <w:rFonts w:asciiTheme="minorHAnsi" w:hAnsiTheme="minorHAnsi" w:cstheme="minorHAnsi"/>
                <w:b/>
                <w:bCs/>
                <w:iCs/>
                <w:color w:val="000000"/>
                <w:u w:val="single"/>
                <w:lang w:val="en-US"/>
              </w:rPr>
              <w:t xml:space="preserve">approved normative O&amp;M for FY </w:t>
            </w:r>
            <w:r w:rsidR="00320792" w:rsidRPr="00AE0294">
              <w:rPr>
                <w:rFonts w:asciiTheme="minorHAnsi" w:hAnsiTheme="minorHAnsi" w:cstheme="minorHAnsi"/>
                <w:b/>
                <w:bCs/>
                <w:iCs/>
                <w:color w:val="000000"/>
                <w:u w:val="single"/>
                <w:lang w:val="en-US"/>
              </w:rPr>
              <w:t>2018-19</w:t>
            </w:r>
            <w:r w:rsidR="009249FD" w:rsidRPr="00AE0294">
              <w:rPr>
                <w:rFonts w:asciiTheme="minorHAnsi" w:hAnsiTheme="minorHAnsi" w:cstheme="minorHAnsi"/>
                <w:b/>
                <w:bCs/>
                <w:iCs/>
                <w:color w:val="000000"/>
                <w:u w:val="single"/>
                <w:lang w:val="en-US"/>
              </w:rPr>
              <w:t xml:space="preserve"> </w:t>
            </w:r>
            <w:r w:rsidR="00320792" w:rsidRPr="00AE0294">
              <w:rPr>
                <w:rFonts w:asciiTheme="minorHAnsi" w:hAnsiTheme="minorHAnsi" w:cstheme="minorHAnsi"/>
                <w:b/>
                <w:bCs/>
                <w:iCs/>
                <w:color w:val="000000"/>
                <w:u w:val="single"/>
                <w:lang w:val="en-US"/>
              </w:rPr>
              <w:t xml:space="preserve">after </w:t>
            </w:r>
            <w:r w:rsidR="00813F34" w:rsidRPr="00AE0294">
              <w:rPr>
                <w:rFonts w:asciiTheme="minorHAnsi" w:hAnsiTheme="minorHAnsi" w:cstheme="minorHAnsi"/>
                <w:b/>
                <w:bCs/>
                <w:iCs/>
                <w:color w:val="000000"/>
                <w:u w:val="single"/>
                <w:lang w:val="en-US"/>
              </w:rPr>
              <w:t>considering</w:t>
            </w:r>
            <w:r w:rsidR="009249FD" w:rsidRPr="00AE0294">
              <w:rPr>
                <w:rFonts w:asciiTheme="minorHAnsi" w:hAnsiTheme="minorHAnsi" w:cstheme="minorHAnsi"/>
                <w:b/>
                <w:bCs/>
                <w:iCs/>
                <w:color w:val="000000"/>
                <w:u w:val="single"/>
                <w:lang w:val="en-US"/>
              </w:rPr>
              <w:t xml:space="preserve"> </w:t>
            </w:r>
            <w:r w:rsidR="00320792" w:rsidRPr="00AE0294">
              <w:rPr>
                <w:rFonts w:asciiTheme="minorHAnsi" w:hAnsiTheme="minorHAnsi" w:cstheme="minorHAnsi"/>
                <w:b/>
                <w:bCs/>
                <w:iCs/>
                <w:color w:val="000000"/>
                <w:u w:val="single"/>
                <w:lang w:val="en-US"/>
              </w:rPr>
              <w:t xml:space="preserve">100% </w:t>
            </w:r>
            <w:r w:rsidR="00813F34" w:rsidRPr="00AE0294">
              <w:rPr>
                <w:rFonts w:asciiTheme="minorHAnsi" w:hAnsiTheme="minorHAnsi" w:cstheme="minorHAnsi"/>
                <w:b/>
                <w:bCs/>
                <w:iCs/>
                <w:color w:val="000000"/>
                <w:u w:val="single"/>
                <w:lang w:val="en-US"/>
              </w:rPr>
              <w:t xml:space="preserve">of the </w:t>
            </w:r>
            <w:r w:rsidR="00320792" w:rsidRPr="00AE0294">
              <w:rPr>
                <w:rFonts w:asciiTheme="minorHAnsi" w:hAnsiTheme="minorHAnsi" w:cstheme="minorHAnsi"/>
                <w:b/>
                <w:bCs/>
                <w:iCs/>
                <w:color w:val="000000"/>
                <w:u w:val="single"/>
                <w:lang w:val="en-US"/>
              </w:rPr>
              <w:t>capitalisation</w:t>
            </w:r>
            <w:r w:rsidR="00813F34" w:rsidRPr="00AE0294">
              <w:rPr>
                <w:rFonts w:asciiTheme="minorHAnsi" w:hAnsiTheme="minorHAnsi" w:cstheme="minorHAnsi"/>
                <w:b/>
                <w:bCs/>
                <w:iCs/>
                <w:color w:val="000000"/>
                <w:u w:val="single"/>
                <w:lang w:val="en-US"/>
              </w:rPr>
              <w:t xml:space="preserve"> during the year</w:t>
            </w:r>
            <w:r w:rsidR="009249FD" w:rsidRPr="00AE0294">
              <w:rPr>
                <w:rFonts w:asciiTheme="minorHAnsi" w:hAnsiTheme="minorHAnsi" w:cstheme="minorHAnsi"/>
                <w:b/>
                <w:bCs/>
                <w:iCs/>
                <w:color w:val="000000"/>
                <w:u w:val="single"/>
                <w:lang w:val="en-US"/>
              </w:rPr>
              <w:t xml:space="preserve"> </w:t>
            </w:r>
            <w:r w:rsidR="00692AB1" w:rsidRPr="00AE0294">
              <w:rPr>
                <w:rFonts w:asciiTheme="minorHAnsi" w:hAnsiTheme="minorHAnsi" w:cstheme="minorHAnsi"/>
                <w:bCs/>
                <w:iCs/>
                <w:color w:val="000000"/>
                <w:lang w:val="en-US"/>
              </w:rPr>
              <w:t xml:space="preserve">as per Regulation 23 of Business Plan </w:t>
            </w:r>
            <w:r w:rsidR="00692AB1" w:rsidRPr="00AE0294">
              <w:rPr>
                <w:rFonts w:asciiTheme="minorHAnsi" w:hAnsiTheme="minorHAnsi" w:cstheme="minorHAnsi"/>
                <w:bCs/>
                <w:iCs/>
                <w:color w:val="000000"/>
                <w:lang w:val="en-US"/>
              </w:rPr>
              <w:lastRenderedPageBreak/>
              <w:t>Regulations, 2017 specified by the Hon’ble Commission.</w:t>
            </w:r>
          </w:p>
        </w:tc>
        <w:tc>
          <w:tcPr>
            <w:tcW w:w="3969" w:type="dxa"/>
            <w:tcBorders>
              <w:top w:val="single" w:sz="6" w:space="0" w:color="000000"/>
              <w:left w:val="single" w:sz="6" w:space="0" w:color="000000"/>
              <w:bottom w:val="single" w:sz="6" w:space="0" w:color="000000"/>
              <w:right w:val="single" w:sz="6" w:space="0" w:color="000000"/>
            </w:tcBorders>
          </w:tcPr>
          <w:p w:rsidR="00C6492A" w:rsidRPr="00AE0294" w:rsidRDefault="00C6492A" w:rsidP="00BC3A95">
            <w:pPr>
              <w:pStyle w:val="ListParagraph"/>
              <w:numPr>
                <w:ilvl w:val="0"/>
                <w:numId w:val="13"/>
              </w:numPr>
              <w:autoSpaceDE w:val="0"/>
              <w:autoSpaceDN w:val="0"/>
              <w:spacing w:line="360" w:lineRule="auto"/>
              <w:ind w:left="398"/>
              <w:rPr>
                <w:rFonts w:asciiTheme="minorHAnsi" w:hAnsiTheme="minorHAnsi" w:cstheme="minorHAnsi"/>
                <w:bCs/>
                <w:color w:val="000000"/>
              </w:rPr>
            </w:pPr>
            <w:r w:rsidRPr="00AE0294">
              <w:rPr>
                <w:rFonts w:asciiTheme="minorHAnsi" w:hAnsiTheme="minorHAnsi" w:cstheme="minorHAnsi"/>
                <w:bCs/>
                <w:color w:val="000000"/>
              </w:rPr>
              <w:lastRenderedPageBreak/>
              <w:t>Hon’ble</w:t>
            </w:r>
            <w:r w:rsidRPr="00AE0294">
              <w:rPr>
                <w:rFonts w:asciiTheme="minorHAnsi" w:hAnsiTheme="minorHAnsi" w:cstheme="minorHAnsi"/>
                <w:color w:val="000000"/>
              </w:rPr>
              <w:t xml:space="preserve"> Commission, while Truing Up the expenses for FY 2018-19 at Para 3.189 and 3.190 in its Tariff Order dated 28.08.2020 has arbitrarily </w:t>
            </w:r>
            <w:r w:rsidRPr="00AE0294">
              <w:rPr>
                <w:rFonts w:asciiTheme="minorHAnsi" w:hAnsiTheme="minorHAnsi" w:cstheme="minorHAnsi"/>
                <w:b/>
                <w:color w:val="000000"/>
                <w:u w:val="single"/>
              </w:rPr>
              <w:t xml:space="preserve">reduced the normative O&amp;M expenses </w:t>
            </w:r>
            <w:r w:rsidRPr="00AE0294">
              <w:rPr>
                <w:rFonts w:asciiTheme="minorHAnsi" w:hAnsiTheme="minorHAnsi" w:cstheme="minorHAnsi"/>
                <w:b/>
                <w:bCs/>
                <w:color w:val="000000"/>
                <w:u w:val="single"/>
              </w:rPr>
              <w:t>for FY 2018-19</w:t>
            </w:r>
            <w:r w:rsidR="00E931CC" w:rsidRPr="00AE0294">
              <w:rPr>
                <w:rFonts w:asciiTheme="minorHAnsi" w:hAnsiTheme="minorHAnsi" w:cstheme="minorHAnsi"/>
                <w:b/>
                <w:bCs/>
                <w:color w:val="000000"/>
                <w:u w:val="single"/>
              </w:rPr>
              <w:t xml:space="preserve"> </w:t>
            </w:r>
            <w:r w:rsidRPr="00AE0294">
              <w:rPr>
                <w:rFonts w:asciiTheme="minorHAnsi" w:hAnsiTheme="minorHAnsi" w:cstheme="minorHAnsi"/>
                <w:b/>
                <w:color w:val="000000"/>
                <w:u w:val="single"/>
              </w:rPr>
              <w:t xml:space="preserve">after </w:t>
            </w:r>
            <w:r w:rsidR="00574CBC" w:rsidRPr="00AE0294">
              <w:rPr>
                <w:rFonts w:asciiTheme="minorHAnsi" w:hAnsiTheme="minorHAnsi" w:cstheme="minorHAnsi"/>
                <w:b/>
                <w:color w:val="000000"/>
                <w:u w:val="single"/>
              </w:rPr>
              <w:t xml:space="preserve">arbitrarily </w:t>
            </w:r>
            <w:r w:rsidRPr="00AE0294">
              <w:rPr>
                <w:rFonts w:asciiTheme="minorHAnsi" w:hAnsiTheme="minorHAnsi" w:cstheme="minorHAnsi"/>
                <w:b/>
                <w:color w:val="000000"/>
                <w:u w:val="single"/>
              </w:rPr>
              <w:t>considering</w:t>
            </w:r>
            <w:r w:rsidRPr="00AE0294">
              <w:rPr>
                <w:rFonts w:asciiTheme="minorHAnsi" w:hAnsiTheme="minorHAnsi" w:cstheme="minorHAnsi"/>
                <w:b/>
                <w:bCs/>
                <w:color w:val="000000"/>
                <w:u w:val="single"/>
              </w:rPr>
              <w:t xml:space="preserve"> 90% </w:t>
            </w:r>
            <w:r w:rsidRPr="00AE0294">
              <w:rPr>
                <w:rFonts w:asciiTheme="minorHAnsi" w:hAnsiTheme="minorHAnsi" w:cstheme="minorHAnsi"/>
                <w:b/>
                <w:bCs/>
                <w:color w:val="000000"/>
                <w:u w:val="single"/>
              </w:rPr>
              <w:lastRenderedPageBreak/>
              <w:t>of the capitalisation</w:t>
            </w:r>
            <w:r w:rsidR="00574CBC" w:rsidRPr="00AE0294">
              <w:rPr>
                <w:rFonts w:asciiTheme="minorHAnsi" w:hAnsiTheme="minorHAnsi" w:cstheme="minorHAnsi"/>
                <w:b/>
                <w:bCs/>
                <w:color w:val="000000"/>
                <w:u w:val="single"/>
              </w:rPr>
              <w:t xml:space="preserve"> d</w:t>
            </w:r>
            <w:r w:rsidR="00813F34" w:rsidRPr="00AE0294">
              <w:rPr>
                <w:rFonts w:asciiTheme="minorHAnsi" w:hAnsiTheme="minorHAnsi" w:cstheme="minorHAnsi"/>
                <w:b/>
                <w:bCs/>
                <w:color w:val="000000"/>
                <w:u w:val="single"/>
              </w:rPr>
              <w:t>uring the year</w:t>
            </w:r>
            <w:r w:rsidRPr="00AE0294">
              <w:rPr>
                <w:rFonts w:asciiTheme="minorHAnsi" w:hAnsiTheme="minorHAnsi" w:cstheme="minorHAnsi"/>
                <w:bCs/>
                <w:color w:val="000000"/>
              </w:rPr>
              <w:t>.</w:t>
            </w:r>
          </w:p>
        </w:tc>
        <w:tc>
          <w:tcPr>
            <w:tcW w:w="3537" w:type="dxa"/>
            <w:tcBorders>
              <w:top w:val="single" w:sz="6" w:space="0" w:color="000000"/>
              <w:left w:val="single" w:sz="6" w:space="0" w:color="000000"/>
              <w:bottom w:val="single" w:sz="6" w:space="0" w:color="000000"/>
              <w:right w:val="single" w:sz="6" w:space="0" w:color="000000"/>
            </w:tcBorders>
          </w:tcPr>
          <w:p w:rsidR="00C6492A" w:rsidRPr="00AE0294" w:rsidRDefault="00320792" w:rsidP="00BC3A95">
            <w:pPr>
              <w:pStyle w:val="ListParagraph"/>
              <w:numPr>
                <w:ilvl w:val="0"/>
                <w:numId w:val="13"/>
              </w:numPr>
              <w:autoSpaceDE w:val="0"/>
              <w:autoSpaceDN w:val="0"/>
              <w:spacing w:line="360" w:lineRule="auto"/>
              <w:ind w:left="398"/>
              <w:rPr>
                <w:rFonts w:asciiTheme="minorHAnsi" w:hAnsiTheme="minorHAnsi" w:cstheme="minorHAnsi"/>
                <w:color w:val="000000"/>
              </w:rPr>
            </w:pPr>
            <w:r w:rsidRPr="00AE0294">
              <w:rPr>
                <w:rFonts w:asciiTheme="minorHAnsi" w:hAnsiTheme="minorHAnsi" w:cstheme="minorHAnsi"/>
              </w:rPr>
              <w:lastRenderedPageBreak/>
              <w:t>T</w:t>
            </w:r>
            <w:r w:rsidR="00C6492A" w:rsidRPr="00AE0294">
              <w:rPr>
                <w:rFonts w:asciiTheme="minorHAnsi" w:hAnsiTheme="minorHAnsi" w:cstheme="minorHAnsi"/>
              </w:rPr>
              <w:t xml:space="preserve">he Petitioner requests the Hon’ble Commission to allow ₹ 3.2 Crores </w:t>
            </w:r>
            <w:r w:rsidRPr="00AE0294">
              <w:rPr>
                <w:rFonts w:asciiTheme="minorHAnsi" w:hAnsiTheme="minorHAnsi" w:cstheme="minorHAnsi"/>
              </w:rPr>
              <w:t>(</w:t>
            </w:r>
            <w:r w:rsidR="00C6492A" w:rsidRPr="00AE0294">
              <w:rPr>
                <w:rFonts w:asciiTheme="minorHAnsi" w:hAnsiTheme="minorHAnsi" w:cstheme="minorHAnsi"/>
              </w:rPr>
              <w:t>including carrying cost</w:t>
            </w:r>
            <w:r w:rsidRPr="00AE0294">
              <w:rPr>
                <w:rFonts w:asciiTheme="minorHAnsi" w:hAnsiTheme="minorHAnsi" w:cstheme="minorHAnsi"/>
              </w:rPr>
              <w:t>) which is difference between the previous and actual treatment</w:t>
            </w:r>
            <w:r w:rsidR="00C6492A" w:rsidRPr="00AE0294">
              <w:rPr>
                <w:rFonts w:asciiTheme="minorHAnsi" w:hAnsiTheme="minorHAnsi" w:cstheme="minorHAnsi"/>
              </w:rPr>
              <w:t>.</w:t>
            </w:r>
          </w:p>
          <w:p w:rsidR="00320792" w:rsidRPr="00AE0294" w:rsidRDefault="00771F44" w:rsidP="00BC3A95">
            <w:pPr>
              <w:pStyle w:val="ListParagraph"/>
              <w:numPr>
                <w:ilvl w:val="0"/>
                <w:numId w:val="13"/>
              </w:numPr>
              <w:autoSpaceDE w:val="0"/>
              <w:autoSpaceDN w:val="0"/>
              <w:spacing w:line="360" w:lineRule="auto"/>
              <w:ind w:left="398"/>
              <w:rPr>
                <w:rFonts w:asciiTheme="minorHAnsi" w:hAnsiTheme="minorHAnsi" w:cstheme="minorHAnsi"/>
                <w:color w:val="000000"/>
              </w:rPr>
            </w:pPr>
            <w:r w:rsidRPr="00AE0294">
              <w:rPr>
                <w:rFonts w:asciiTheme="minorHAnsi" w:hAnsiTheme="minorHAnsi" w:cstheme="minorHAnsi"/>
                <w:color w:val="000000"/>
              </w:rPr>
              <w:lastRenderedPageBreak/>
              <w:t xml:space="preserve">The detailed computation is enclosed as </w:t>
            </w:r>
            <w:r w:rsidRPr="00AE0294">
              <w:rPr>
                <w:rFonts w:asciiTheme="minorHAnsi" w:hAnsiTheme="minorHAnsi" w:cstheme="minorHAnsi"/>
                <w:b/>
                <w:color w:val="000000"/>
              </w:rPr>
              <w:t>Annexure – 3B(ii)</w:t>
            </w:r>
            <w:r w:rsidRPr="00AE0294">
              <w:rPr>
                <w:rFonts w:asciiTheme="minorHAnsi" w:hAnsiTheme="minorHAnsi" w:cstheme="minorHAnsi"/>
                <w:color w:val="000000"/>
              </w:rPr>
              <w:t>.</w:t>
            </w:r>
          </w:p>
        </w:tc>
      </w:tr>
      <w:tr w:rsidR="00657C48" w:rsidRPr="00AE0294" w:rsidTr="009249FD">
        <w:trPr>
          <w:trHeight w:val="970"/>
        </w:trPr>
        <w:tc>
          <w:tcPr>
            <w:tcW w:w="745" w:type="dxa"/>
            <w:tcBorders>
              <w:top w:val="single" w:sz="6" w:space="0" w:color="000000"/>
              <w:left w:val="single" w:sz="6" w:space="0" w:color="000000"/>
              <w:bottom w:val="single" w:sz="6" w:space="0" w:color="000000"/>
              <w:right w:val="single" w:sz="6" w:space="0" w:color="000000"/>
            </w:tcBorders>
          </w:tcPr>
          <w:p w:rsidR="00C6492A" w:rsidRPr="00AE0294" w:rsidRDefault="00C6492A" w:rsidP="00BC3A95">
            <w:pPr>
              <w:pStyle w:val="ListParagraph"/>
              <w:widowControl/>
              <w:numPr>
                <w:ilvl w:val="0"/>
                <w:numId w:val="9"/>
              </w:numPr>
              <w:autoSpaceDE w:val="0"/>
              <w:autoSpaceDN w:val="0"/>
              <w:spacing w:line="360" w:lineRule="auto"/>
              <w:textAlignment w:val="auto"/>
              <w:rPr>
                <w:rFonts w:asciiTheme="minorHAnsi" w:hAnsiTheme="minorHAnsi" w:cstheme="minorHAnsi"/>
                <w:color w:val="000000"/>
              </w:rPr>
            </w:pPr>
          </w:p>
        </w:tc>
        <w:tc>
          <w:tcPr>
            <w:tcW w:w="2340" w:type="dxa"/>
            <w:tcBorders>
              <w:top w:val="single" w:sz="6" w:space="0" w:color="000000"/>
              <w:left w:val="single" w:sz="6" w:space="0" w:color="000000"/>
              <w:bottom w:val="single" w:sz="6" w:space="0" w:color="000000"/>
              <w:right w:val="single" w:sz="6" w:space="0" w:color="000000"/>
            </w:tcBorders>
          </w:tcPr>
          <w:p w:rsidR="00C6492A" w:rsidRPr="00AE0294" w:rsidRDefault="00C6492A" w:rsidP="00C6492A">
            <w:pPr>
              <w:autoSpaceDE w:val="0"/>
              <w:autoSpaceDN w:val="0"/>
              <w:adjustRightInd w:val="0"/>
              <w:spacing w:after="0" w:line="360" w:lineRule="auto"/>
              <w:jc w:val="both"/>
              <w:rPr>
                <w:rFonts w:cstheme="minorHAnsi"/>
                <w:color w:val="000000"/>
                <w:sz w:val="24"/>
                <w:szCs w:val="24"/>
              </w:rPr>
            </w:pPr>
            <w:r w:rsidRPr="00AE0294">
              <w:rPr>
                <w:rFonts w:cstheme="minorHAnsi"/>
                <w:color w:val="000000"/>
                <w:sz w:val="24"/>
                <w:szCs w:val="24"/>
              </w:rPr>
              <w:t>Minimum Wage Revision</w:t>
            </w:r>
          </w:p>
        </w:tc>
        <w:tc>
          <w:tcPr>
            <w:tcW w:w="4111" w:type="dxa"/>
            <w:tcBorders>
              <w:top w:val="single" w:sz="6" w:space="0" w:color="000000"/>
              <w:left w:val="single" w:sz="6" w:space="0" w:color="000000"/>
              <w:bottom w:val="single" w:sz="6" w:space="0" w:color="000000"/>
              <w:right w:val="single" w:sz="6" w:space="0" w:color="000000"/>
            </w:tcBorders>
          </w:tcPr>
          <w:p w:rsidR="00C6492A" w:rsidRPr="00AE0294" w:rsidRDefault="00180E89" w:rsidP="00BC3A95">
            <w:pPr>
              <w:pStyle w:val="ListParagraph"/>
              <w:numPr>
                <w:ilvl w:val="0"/>
                <w:numId w:val="13"/>
              </w:numPr>
              <w:autoSpaceDE w:val="0"/>
              <w:autoSpaceDN w:val="0"/>
              <w:spacing w:line="360" w:lineRule="auto"/>
              <w:ind w:left="398"/>
              <w:rPr>
                <w:rFonts w:asciiTheme="minorHAnsi" w:hAnsiTheme="minorHAnsi" w:cstheme="minorHAnsi"/>
                <w:bCs/>
                <w:color w:val="000000"/>
              </w:rPr>
            </w:pPr>
            <w:r w:rsidRPr="00AE0294">
              <w:rPr>
                <w:rFonts w:asciiTheme="minorHAnsi" w:hAnsiTheme="minorHAnsi" w:cstheme="minorHAnsi"/>
                <w:bCs/>
                <w:color w:val="000000"/>
              </w:rPr>
              <w:t xml:space="preserve">The </w:t>
            </w:r>
            <w:r w:rsidR="00C6492A" w:rsidRPr="00AE0294">
              <w:rPr>
                <w:rFonts w:asciiTheme="minorHAnsi" w:hAnsiTheme="minorHAnsi" w:cstheme="minorHAnsi"/>
                <w:bCs/>
                <w:color w:val="000000"/>
              </w:rPr>
              <w:t xml:space="preserve">Hon’ble Commission </w:t>
            </w:r>
            <w:r w:rsidRPr="00AE0294">
              <w:rPr>
                <w:rFonts w:asciiTheme="minorHAnsi" w:hAnsiTheme="minorHAnsi" w:cstheme="minorHAnsi"/>
                <w:bCs/>
                <w:color w:val="000000"/>
              </w:rPr>
              <w:t>at Para 4.</w:t>
            </w:r>
            <w:r w:rsidR="00F46AD0" w:rsidRPr="00AE0294">
              <w:rPr>
                <w:rFonts w:asciiTheme="minorHAnsi" w:hAnsiTheme="minorHAnsi" w:cstheme="minorHAnsi"/>
                <w:bCs/>
                <w:color w:val="000000"/>
              </w:rPr>
              <w:t xml:space="preserve">89 of Tariff Order dated 28.03.2018 </w:t>
            </w:r>
            <w:r w:rsidR="007819C3" w:rsidRPr="00AE0294">
              <w:rPr>
                <w:rFonts w:asciiTheme="minorHAnsi" w:hAnsiTheme="minorHAnsi" w:cstheme="minorHAnsi"/>
                <w:bCs/>
                <w:color w:val="000000"/>
              </w:rPr>
              <w:t xml:space="preserve">has </w:t>
            </w:r>
            <w:r w:rsidR="00C6492A" w:rsidRPr="00AE0294">
              <w:rPr>
                <w:rFonts w:asciiTheme="minorHAnsi" w:hAnsiTheme="minorHAnsi" w:cstheme="minorHAnsi"/>
                <w:b/>
                <w:bCs/>
                <w:color w:val="000000"/>
                <w:u w:val="single"/>
              </w:rPr>
              <w:t xml:space="preserve">approved the impact of minimum wage revision in ARR of FY 2018-19 </w:t>
            </w:r>
            <w:r w:rsidR="007819C3" w:rsidRPr="00AE0294">
              <w:rPr>
                <w:rFonts w:asciiTheme="minorHAnsi" w:hAnsiTheme="minorHAnsi" w:cstheme="minorHAnsi"/>
                <w:b/>
                <w:bCs/>
                <w:color w:val="000000"/>
                <w:u w:val="single"/>
              </w:rPr>
              <w:t>over and above the normative O&amp;M Expenses.</w:t>
            </w:r>
          </w:p>
        </w:tc>
        <w:tc>
          <w:tcPr>
            <w:tcW w:w="3969" w:type="dxa"/>
            <w:tcBorders>
              <w:top w:val="single" w:sz="6" w:space="0" w:color="000000"/>
              <w:left w:val="single" w:sz="6" w:space="0" w:color="000000"/>
              <w:bottom w:val="single" w:sz="6" w:space="0" w:color="000000"/>
              <w:right w:val="single" w:sz="6" w:space="0" w:color="000000"/>
            </w:tcBorders>
          </w:tcPr>
          <w:p w:rsidR="00C6492A" w:rsidRPr="00AE0294" w:rsidRDefault="00C6492A" w:rsidP="00BC3A95">
            <w:pPr>
              <w:pStyle w:val="ListParagraph"/>
              <w:numPr>
                <w:ilvl w:val="0"/>
                <w:numId w:val="13"/>
              </w:numPr>
              <w:autoSpaceDE w:val="0"/>
              <w:autoSpaceDN w:val="0"/>
              <w:spacing w:line="360" w:lineRule="auto"/>
              <w:ind w:left="398"/>
              <w:rPr>
                <w:rFonts w:asciiTheme="minorHAnsi" w:hAnsiTheme="minorHAnsi" w:cstheme="minorHAnsi"/>
                <w:color w:val="000000"/>
              </w:rPr>
            </w:pPr>
            <w:r w:rsidRPr="00AE0294">
              <w:rPr>
                <w:rFonts w:asciiTheme="minorHAnsi" w:hAnsiTheme="minorHAnsi" w:cstheme="minorHAnsi"/>
              </w:rPr>
              <w:t xml:space="preserve">Hon’ble Commission while </w:t>
            </w:r>
            <w:r w:rsidR="00F46AD0" w:rsidRPr="00AE0294">
              <w:rPr>
                <w:rFonts w:asciiTheme="minorHAnsi" w:hAnsiTheme="minorHAnsi" w:cstheme="minorHAnsi"/>
              </w:rPr>
              <w:t>at Para 3.203 of Tariff Order dated 28.08.2020</w:t>
            </w:r>
            <w:r w:rsidR="00354F33" w:rsidRPr="00AE0294">
              <w:rPr>
                <w:rFonts w:asciiTheme="minorHAnsi" w:hAnsiTheme="minorHAnsi" w:cstheme="minorHAnsi"/>
              </w:rPr>
              <w:t xml:space="preserve"> and Para </w:t>
            </w:r>
            <w:r w:rsidR="00574CBC" w:rsidRPr="00AE0294">
              <w:rPr>
                <w:rFonts w:asciiTheme="minorHAnsi" w:hAnsiTheme="minorHAnsi" w:cstheme="minorHAnsi"/>
              </w:rPr>
              <w:t>3.359</w:t>
            </w:r>
            <w:r w:rsidR="00354F33" w:rsidRPr="00AE0294">
              <w:rPr>
                <w:rFonts w:asciiTheme="minorHAnsi" w:hAnsiTheme="minorHAnsi" w:cstheme="minorHAnsi"/>
              </w:rPr>
              <w:t xml:space="preserve"> of Tariff Order dated 31.07.2019</w:t>
            </w:r>
            <w:r w:rsidRPr="00AE0294">
              <w:rPr>
                <w:rFonts w:asciiTheme="minorHAnsi" w:hAnsiTheme="minorHAnsi" w:cstheme="minorHAnsi"/>
              </w:rPr>
              <w:t xml:space="preserve">, </w:t>
            </w:r>
            <w:r w:rsidR="00180E89" w:rsidRPr="00AE0294">
              <w:rPr>
                <w:rFonts w:asciiTheme="minorHAnsi" w:hAnsiTheme="minorHAnsi" w:cstheme="minorHAnsi"/>
              </w:rPr>
              <w:t xml:space="preserve">has </w:t>
            </w:r>
            <w:r w:rsidR="00180E89" w:rsidRPr="00AE0294">
              <w:rPr>
                <w:rFonts w:asciiTheme="minorHAnsi" w:hAnsiTheme="minorHAnsi" w:cstheme="minorHAnsi"/>
                <w:b/>
                <w:u w:val="single"/>
              </w:rPr>
              <w:t xml:space="preserve">not </w:t>
            </w:r>
            <w:r w:rsidR="00692AB1" w:rsidRPr="00AE0294">
              <w:rPr>
                <w:rFonts w:asciiTheme="minorHAnsi" w:hAnsiTheme="minorHAnsi" w:cstheme="minorHAnsi"/>
                <w:b/>
                <w:u w:val="single"/>
              </w:rPr>
              <w:t>approved</w:t>
            </w:r>
            <w:r w:rsidRPr="00AE0294">
              <w:rPr>
                <w:rFonts w:asciiTheme="minorHAnsi" w:hAnsiTheme="minorHAnsi" w:cstheme="minorHAnsi"/>
                <w:b/>
                <w:u w:val="single"/>
              </w:rPr>
              <w:t xml:space="preserve"> the impact of minimum wage revision </w:t>
            </w:r>
            <w:r w:rsidR="007819C3" w:rsidRPr="00AE0294">
              <w:rPr>
                <w:rFonts w:asciiTheme="minorHAnsi" w:hAnsiTheme="minorHAnsi" w:cstheme="minorHAnsi"/>
                <w:b/>
                <w:bCs/>
                <w:color w:val="000000"/>
                <w:u w:val="single"/>
              </w:rPr>
              <w:t>over and above the normative O&amp;M Expenses</w:t>
            </w:r>
            <w:r w:rsidR="007819C3" w:rsidRPr="00AE0294">
              <w:rPr>
                <w:rFonts w:asciiTheme="minorHAnsi" w:hAnsiTheme="minorHAnsi" w:cstheme="minorHAnsi"/>
                <w:b/>
                <w:u w:val="single"/>
              </w:rPr>
              <w:t xml:space="preserve">  </w:t>
            </w:r>
            <w:r w:rsidRPr="00AE0294">
              <w:rPr>
                <w:rFonts w:asciiTheme="minorHAnsi" w:hAnsiTheme="minorHAnsi" w:cstheme="minorHAnsi"/>
                <w:b/>
                <w:u w:val="single"/>
              </w:rPr>
              <w:t>in FY 2017-18 and FY 2018-19</w:t>
            </w:r>
            <w:r w:rsidRPr="00AE0294">
              <w:rPr>
                <w:rFonts w:asciiTheme="minorHAnsi" w:hAnsiTheme="minorHAnsi" w:cstheme="minorHAnsi"/>
              </w:rPr>
              <w:t xml:space="preserve">. </w:t>
            </w:r>
          </w:p>
        </w:tc>
        <w:tc>
          <w:tcPr>
            <w:tcW w:w="3537" w:type="dxa"/>
            <w:tcBorders>
              <w:top w:val="single" w:sz="6" w:space="0" w:color="000000"/>
              <w:left w:val="single" w:sz="6" w:space="0" w:color="000000"/>
              <w:bottom w:val="single" w:sz="6" w:space="0" w:color="000000"/>
              <w:right w:val="single" w:sz="6" w:space="0" w:color="000000"/>
            </w:tcBorders>
          </w:tcPr>
          <w:p w:rsidR="00C6492A" w:rsidRPr="00AE0294" w:rsidRDefault="00C6492A" w:rsidP="00BC3A95">
            <w:pPr>
              <w:pStyle w:val="ListParagraph"/>
              <w:numPr>
                <w:ilvl w:val="0"/>
                <w:numId w:val="13"/>
              </w:numPr>
              <w:autoSpaceDE w:val="0"/>
              <w:autoSpaceDN w:val="0"/>
              <w:spacing w:line="360" w:lineRule="auto"/>
              <w:ind w:left="398"/>
              <w:rPr>
                <w:rFonts w:asciiTheme="minorHAnsi" w:hAnsiTheme="minorHAnsi" w:cstheme="minorHAnsi"/>
              </w:rPr>
            </w:pPr>
            <w:r w:rsidRPr="00AE0294">
              <w:rPr>
                <w:rFonts w:asciiTheme="minorHAnsi" w:hAnsiTheme="minorHAnsi" w:cstheme="minorHAnsi"/>
              </w:rPr>
              <w:t>Hence, the Petitioner requests the Hon’ble Commission to allow</w:t>
            </w:r>
            <w:r w:rsidR="00354F33" w:rsidRPr="00AE0294">
              <w:rPr>
                <w:rFonts w:asciiTheme="minorHAnsi" w:hAnsiTheme="minorHAnsi" w:cstheme="minorHAnsi"/>
              </w:rPr>
              <w:t xml:space="preserve"> the impact of minimum wage revision amounting to</w:t>
            </w:r>
            <w:r w:rsidRPr="00AE0294">
              <w:rPr>
                <w:rFonts w:asciiTheme="minorHAnsi" w:hAnsiTheme="minorHAnsi" w:cstheme="minorHAnsi"/>
              </w:rPr>
              <w:t xml:space="preserve"> ₹ 53.5 Crores </w:t>
            </w:r>
            <w:r w:rsidR="004C2FD7" w:rsidRPr="00AE0294">
              <w:rPr>
                <w:rFonts w:asciiTheme="minorHAnsi" w:hAnsiTheme="minorHAnsi" w:cstheme="minorHAnsi"/>
              </w:rPr>
              <w:t>(</w:t>
            </w:r>
            <w:r w:rsidRPr="00AE0294">
              <w:rPr>
                <w:rFonts w:asciiTheme="minorHAnsi" w:hAnsiTheme="minorHAnsi" w:cstheme="minorHAnsi"/>
              </w:rPr>
              <w:t>including carrying cost</w:t>
            </w:r>
            <w:r w:rsidR="004C2FD7" w:rsidRPr="00AE0294">
              <w:rPr>
                <w:rFonts w:asciiTheme="minorHAnsi" w:hAnsiTheme="minorHAnsi" w:cstheme="minorHAnsi"/>
              </w:rPr>
              <w:t>)</w:t>
            </w:r>
            <w:r w:rsidRPr="00AE0294">
              <w:rPr>
                <w:rFonts w:asciiTheme="minorHAnsi" w:hAnsiTheme="minorHAnsi" w:cstheme="minorHAnsi"/>
              </w:rPr>
              <w:t>.</w:t>
            </w:r>
          </w:p>
          <w:p w:rsidR="00771F44" w:rsidRPr="00AE0294" w:rsidRDefault="00771F44" w:rsidP="00BC3A95">
            <w:pPr>
              <w:pStyle w:val="ListParagraph"/>
              <w:numPr>
                <w:ilvl w:val="0"/>
                <w:numId w:val="13"/>
              </w:numPr>
              <w:autoSpaceDE w:val="0"/>
              <w:autoSpaceDN w:val="0"/>
              <w:spacing w:line="360" w:lineRule="auto"/>
              <w:ind w:left="398"/>
              <w:rPr>
                <w:rFonts w:asciiTheme="minorHAnsi" w:hAnsiTheme="minorHAnsi" w:cstheme="minorHAnsi"/>
              </w:rPr>
            </w:pPr>
            <w:r w:rsidRPr="00AE0294">
              <w:rPr>
                <w:rFonts w:asciiTheme="minorHAnsi" w:hAnsiTheme="minorHAnsi" w:cstheme="minorHAnsi"/>
                <w:color w:val="000000"/>
              </w:rPr>
              <w:t xml:space="preserve">The detailed computation is enclosed as </w:t>
            </w:r>
            <w:r w:rsidRPr="00AE0294">
              <w:rPr>
                <w:rFonts w:asciiTheme="minorHAnsi" w:hAnsiTheme="minorHAnsi" w:cstheme="minorHAnsi"/>
                <w:b/>
                <w:color w:val="000000"/>
              </w:rPr>
              <w:t>Annexure – 3B(ii)</w:t>
            </w:r>
            <w:r w:rsidRPr="00AE0294">
              <w:rPr>
                <w:rFonts w:asciiTheme="minorHAnsi" w:hAnsiTheme="minorHAnsi" w:cstheme="minorHAnsi"/>
                <w:color w:val="000000"/>
              </w:rPr>
              <w:t>.</w:t>
            </w:r>
          </w:p>
        </w:tc>
      </w:tr>
      <w:tr w:rsidR="00657C48" w:rsidRPr="00AE0294" w:rsidTr="009249FD">
        <w:trPr>
          <w:trHeight w:val="970"/>
        </w:trPr>
        <w:tc>
          <w:tcPr>
            <w:tcW w:w="745" w:type="dxa"/>
            <w:tcBorders>
              <w:top w:val="single" w:sz="6" w:space="0" w:color="000000"/>
              <w:left w:val="single" w:sz="6" w:space="0" w:color="000000"/>
              <w:bottom w:val="single" w:sz="6" w:space="0" w:color="000000"/>
              <w:right w:val="single" w:sz="6" w:space="0" w:color="000000"/>
            </w:tcBorders>
          </w:tcPr>
          <w:p w:rsidR="00C6492A" w:rsidRPr="00AE0294" w:rsidRDefault="00C6492A" w:rsidP="00BC3A95">
            <w:pPr>
              <w:pStyle w:val="ListParagraph"/>
              <w:widowControl/>
              <w:numPr>
                <w:ilvl w:val="0"/>
                <w:numId w:val="9"/>
              </w:numPr>
              <w:autoSpaceDE w:val="0"/>
              <w:autoSpaceDN w:val="0"/>
              <w:spacing w:line="360" w:lineRule="auto"/>
              <w:textAlignment w:val="auto"/>
              <w:rPr>
                <w:rFonts w:asciiTheme="minorHAnsi" w:hAnsiTheme="minorHAnsi" w:cstheme="minorHAnsi"/>
                <w:color w:val="000000"/>
              </w:rPr>
            </w:pPr>
          </w:p>
        </w:tc>
        <w:tc>
          <w:tcPr>
            <w:tcW w:w="2340" w:type="dxa"/>
            <w:tcBorders>
              <w:top w:val="single" w:sz="6" w:space="0" w:color="000000"/>
              <w:left w:val="single" w:sz="6" w:space="0" w:color="000000"/>
              <w:bottom w:val="single" w:sz="6" w:space="0" w:color="000000"/>
              <w:right w:val="single" w:sz="6" w:space="0" w:color="000000"/>
            </w:tcBorders>
          </w:tcPr>
          <w:p w:rsidR="00C6492A" w:rsidRPr="00AE0294" w:rsidRDefault="00C6492A" w:rsidP="00C6492A">
            <w:pPr>
              <w:autoSpaceDE w:val="0"/>
              <w:autoSpaceDN w:val="0"/>
              <w:adjustRightInd w:val="0"/>
              <w:spacing w:after="0" w:line="360" w:lineRule="auto"/>
              <w:jc w:val="both"/>
              <w:rPr>
                <w:rFonts w:cstheme="minorHAnsi"/>
                <w:color w:val="000000"/>
                <w:sz w:val="24"/>
                <w:szCs w:val="24"/>
              </w:rPr>
            </w:pPr>
            <w:r w:rsidRPr="00AE0294">
              <w:rPr>
                <w:rFonts w:cstheme="minorHAnsi"/>
                <w:color w:val="000000"/>
                <w:sz w:val="24"/>
                <w:szCs w:val="24"/>
              </w:rPr>
              <w:t>Erroneous treatment of the sales on zero billing</w:t>
            </w:r>
          </w:p>
        </w:tc>
        <w:tc>
          <w:tcPr>
            <w:tcW w:w="4111" w:type="dxa"/>
            <w:tcBorders>
              <w:top w:val="single" w:sz="6" w:space="0" w:color="000000"/>
              <w:left w:val="single" w:sz="6" w:space="0" w:color="000000"/>
              <w:bottom w:val="single" w:sz="6" w:space="0" w:color="000000"/>
              <w:right w:val="single" w:sz="6" w:space="0" w:color="000000"/>
            </w:tcBorders>
          </w:tcPr>
          <w:p w:rsidR="00C6492A" w:rsidRPr="00AE0294" w:rsidRDefault="00C6492A" w:rsidP="00BC3A95">
            <w:pPr>
              <w:pStyle w:val="ListParagraph"/>
              <w:numPr>
                <w:ilvl w:val="0"/>
                <w:numId w:val="14"/>
              </w:numPr>
              <w:tabs>
                <w:tab w:val="left" w:pos="1833"/>
              </w:tabs>
              <w:autoSpaceDE w:val="0"/>
              <w:autoSpaceDN w:val="0"/>
              <w:spacing w:line="360" w:lineRule="auto"/>
              <w:ind w:left="337"/>
              <w:rPr>
                <w:rFonts w:asciiTheme="minorHAnsi" w:hAnsiTheme="minorHAnsi" w:cstheme="minorHAnsi"/>
                <w:bCs/>
                <w:color w:val="000000"/>
                <w:lang w:val="en-US"/>
              </w:rPr>
            </w:pPr>
            <w:r w:rsidRPr="00AE0294">
              <w:rPr>
                <w:rFonts w:asciiTheme="minorHAnsi" w:hAnsiTheme="minorHAnsi" w:cstheme="minorHAnsi"/>
                <w:bCs/>
                <w:color w:val="000000"/>
                <w:lang w:val="en-US"/>
              </w:rPr>
              <w:t>Hon’ble Commission at Para 3.19 of</w:t>
            </w:r>
            <w:r w:rsidR="00354F33" w:rsidRPr="00AE0294">
              <w:rPr>
                <w:rFonts w:asciiTheme="minorHAnsi" w:hAnsiTheme="minorHAnsi" w:cstheme="minorHAnsi"/>
                <w:bCs/>
                <w:color w:val="000000"/>
                <w:lang w:val="en-US"/>
              </w:rPr>
              <w:t xml:space="preserve"> Tariff O</w:t>
            </w:r>
            <w:r w:rsidRPr="00AE0294">
              <w:rPr>
                <w:rFonts w:asciiTheme="minorHAnsi" w:hAnsiTheme="minorHAnsi" w:cstheme="minorHAnsi"/>
                <w:bCs/>
                <w:color w:val="000000"/>
                <w:lang w:val="en-US"/>
              </w:rPr>
              <w:t>rder dated 13.07.2012</w:t>
            </w:r>
            <w:r w:rsidR="009249FD" w:rsidRPr="00AE0294">
              <w:rPr>
                <w:rFonts w:asciiTheme="minorHAnsi" w:hAnsiTheme="minorHAnsi" w:cstheme="minorHAnsi"/>
                <w:bCs/>
                <w:color w:val="000000"/>
                <w:lang w:val="en-US"/>
              </w:rPr>
              <w:t xml:space="preserve"> </w:t>
            </w:r>
            <w:r w:rsidRPr="00AE0294">
              <w:rPr>
                <w:rFonts w:asciiTheme="minorHAnsi" w:hAnsiTheme="minorHAnsi" w:cstheme="minorHAnsi"/>
                <w:b/>
                <w:bCs/>
                <w:color w:val="000000"/>
                <w:u w:val="single"/>
                <w:lang w:val="en-US"/>
              </w:rPr>
              <w:t>disallowed units billed of 40.84 MU</w:t>
            </w:r>
            <w:r w:rsidR="00574CBC" w:rsidRPr="00AE0294">
              <w:rPr>
                <w:rFonts w:asciiTheme="minorHAnsi" w:hAnsiTheme="minorHAnsi" w:cstheme="minorHAnsi"/>
                <w:b/>
                <w:bCs/>
                <w:color w:val="000000"/>
                <w:u w:val="single"/>
                <w:lang w:val="en-US"/>
              </w:rPr>
              <w:t xml:space="preserve"> </w:t>
            </w:r>
            <w:r w:rsidR="00F46AD0" w:rsidRPr="00AE0294">
              <w:rPr>
                <w:rFonts w:asciiTheme="minorHAnsi" w:hAnsiTheme="minorHAnsi" w:cstheme="minorHAnsi"/>
                <w:b/>
                <w:bCs/>
                <w:color w:val="000000"/>
                <w:u w:val="single"/>
                <w:lang w:val="en-US"/>
              </w:rPr>
              <w:t>for 3 mon</w:t>
            </w:r>
            <w:r w:rsidR="00180E89" w:rsidRPr="00AE0294">
              <w:rPr>
                <w:rFonts w:asciiTheme="minorHAnsi" w:hAnsiTheme="minorHAnsi" w:cstheme="minorHAnsi"/>
                <w:b/>
                <w:bCs/>
                <w:color w:val="000000"/>
                <w:u w:val="single"/>
                <w:lang w:val="en-US"/>
              </w:rPr>
              <w:t>ths</w:t>
            </w:r>
            <w:r w:rsidR="009249FD" w:rsidRPr="00AE0294">
              <w:rPr>
                <w:rFonts w:asciiTheme="minorHAnsi" w:hAnsiTheme="minorHAnsi" w:cstheme="minorHAnsi"/>
                <w:b/>
                <w:bCs/>
                <w:color w:val="000000"/>
                <w:u w:val="single"/>
                <w:lang w:val="en-US"/>
              </w:rPr>
              <w:t xml:space="preserve"> </w:t>
            </w:r>
            <w:r w:rsidRPr="00AE0294">
              <w:rPr>
                <w:rFonts w:asciiTheme="minorHAnsi" w:hAnsiTheme="minorHAnsi" w:cstheme="minorHAnsi"/>
                <w:bCs/>
                <w:color w:val="000000"/>
                <w:lang w:val="en-US"/>
              </w:rPr>
              <w:t xml:space="preserve">on account of zero rate billing. </w:t>
            </w:r>
          </w:p>
        </w:tc>
        <w:tc>
          <w:tcPr>
            <w:tcW w:w="3969" w:type="dxa"/>
            <w:tcBorders>
              <w:top w:val="single" w:sz="6" w:space="0" w:color="000000"/>
              <w:left w:val="single" w:sz="6" w:space="0" w:color="000000"/>
              <w:bottom w:val="single" w:sz="6" w:space="0" w:color="000000"/>
              <w:right w:val="single" w:sz="6" w:space="0" w:color="000000"/>
            </w:tcBorders>
          </w:tcPr>
          <w:p w:rsidR="00C6492A" w:rsidRPr="00AE0294" w:rsidRDefault="00C6492A" w:rsidP="00BC3A95">
            <w:pPr>
              <w:pStyle w:val="ListParagraph"/>
              <w:numPr>
                <w:ilvl w:val="0"/>
                <w:numId w:val="14"/>
              </w:numPr>
              <w:tabs>
                <w:tab w:val="left" w:pos="1833"/>
              </w:tabs>
              <w:autoSpaceDE w:val="0"/>
              <w:autoSpaceDN w:val="0"/>
              <w:spacing w:line="360" w:lineRule="auto"/>
              <w:ind w:left="337"/>
              <w:rPr>
                <w:rFonts w:asciiTheme="minorHAnsi" w:hAnsiTheme="minorHAnsi" w:cstheme="minorHAnsi"/>
                <w:lang w:val="en-US"/>
              </w:rPr>
            </w:pPr>
            <w:r w:rsidRPr="00AE0294">
              <w:rPr>
                <w:rFonts w:asciiTheme="minorHAnsi" w:hAnsiTheme="minorHAnsi" w:cstheme="minorHAnsi"/>
                <w:lang w:val="en-US"/>
              </w:rPr>
              <w:t xml:space="preserve">Hon’ble Commission </w:t>
            </w:r>
            <w:r w:rsidR="004C2FD7" w:rsidRPr="00AE0294">
              <w:rPr>
                <w:rFonts w:asciiTheme="minorHAnsi" w:hAnsiTheme="minorHAnsi" w:cstheme="minorHAnsi"/>
                <w:lang w:val="en-US"/>
              </w:rPr>
              <w:t xml:space="preserve">at Para </w:t>
            </w:r>
            <w:r w:rsidR="008E6D02" w:rsidRPr="00AE0294">
              <w:rPr>
                <w:rFonts w:asciiTheme="minorHAnsi" w:hAnsiTheme="minorHAnsi" w:cstheme="minorHAnsi"/>
                <w:lang w:val="en-US"/>
              </w:rPr>
              <w:t>3.132</w:t>
            </w:r>
            <w:r w:rsidR="004C2FD7" w:rsidRPr="00AE0294">
              <w:rPr>
                <w:rFonts w:asciiTheme="minorHAnsi" w:hAnsiTheme="minorHAnsi" w:cstheme="minorHAnsi"/>
                <w:lang w:val="en-US"/>
              </w:rPr>
              <w:t xml:space="preserve"> of </w:t>
            </w:r>
            <w:r w:rsidR="00F46AD0" w:rsidRPr="00AE0294">
              <w:rPr>
                <w:rFonts w:asciiTheme="minorHAnsi" w:hAnsiTheme="minorHAnsi" w:cstheme="minorHAnsi"/>
                <w:lang w:val="en-US"/>
              </w:rPr>
              <w:t xml:space="preserve">Tariff Order dated 29.09.2015 </w:t>
            </w:r>
            <w:r w:rsidR="004C2FD7" w:rsidRPr="00AE0294">
              <w:rPr>
                <w:rFonts w:asciiTheme="minorHAnsi" w:hAnsiTheme="minorHAnsi" w:cstheme="minorHAnsi"/>
                <w:lang w:val="en-US"/>
              </w:rPr>
              <w:t xml:space="preserve">has </w:t>
            </w:r>
            <w:r w:rsidR="004C2FD7" w:rsidRPr="00AE0294">
              <w:rPr>
                <w:rFonts w:asciiTheme="minorHAnsi" w:hAnsiTheme="minorHAnsi" w:cstheme="minorHAnsi"/>
                <w:b/>
                <w:u w:val="single"/>
                <w:lang w:val="en-US"/>
              </w:rPr>
              <w:t>reopened the already trued up figures</w:t>
            </w:r>
            <w:r w:rsidR="009249FD" w:rsidRPr="00AE0294">
              <w:rPr>
                <w:rFonts w:asciiTheme="minorHAnsi" w:hAnsiTheme="minorHAnsi" w:cstheme="minorHAnsi"/>
                <w:lang w:val="en-US"/>
              </w:rPr>
              <w:t xml:space="preserve"> </w:t>
            </w:r>
            <w:r w:rsidR="004C2FD7" w:rsidRPr="00AE0294">
              <w:rPr>
                <w:rFonts w:asciiTheme="minorHAnsi" w:hAnsiTheme="minorHAnsi" w:cstheme="minorHAnsi"/>
                <w:lang w:val="en-US"/>
              </w:rPr>
              <w:t xml:space="preserve">and has </w:t>
            </w:r>
            <w:r w:rsidR="004C2FD7" w:rsidRPr="00AE0294">
              <w:rPr>
                <w:rFonts w:asciiTheme="minorHAnsi" w:hAnsiTheme="minorHAnsi" w:cstheme="minorHAnsi"/>
                <w:b/>
                <w:u w:val="single"/>
                <w:lang w:val="en-US"/>
              </w:rPr>
              <w:t xml:space="preserve">arbitrarily </w:t>
            </w:r>
            <w:r w:rsidR="00F46AD0" w:rsidRPr="00AE0294">
              <w:rPr>
                <w:rFonts w:asciiTheme="minorHAnsi" w:hAnsiTheme="minorHAnsi" w:cstheme="minorHAnsi"/>
                <w:b/>
                <w:u w:val="single"/>
                <w:lang w:val="en-US"/>
              </w:rPr>
              <w:t>disallowed</w:t>
            </w:r>
            <w:r w:rsidR="00574CBC" w:rsidRPr="00AE0294">
              <w:rPr>
                <w:rFonts w:asciiTheme="minorHAnsi" w:hAnsiTheme="minorHAnsi" w:cstheme="minorHAnsi"/>
                <w:b/>
                <w:u w:val="single"/>
                <w:lang w:val="en-US"/>
              </w:rPr>
              <w:t xml:space="preserve"> </w:t>
            </w:r>
            <w:r w:rsidR="00F46AD0" w:rsidRPr="00AE0294">
              <w:rPr>
                <w:rFonts w:asciiTheme="minorHAnsi" w:hAnsiTheme="minorHAnsi" w:cstheme="minorHAnsi"/>
                <w:b/>
                <w:u w:val="single"/>
                <w:lang w:val="en-US"/>
              </w:rPr>
              <w:t xml:space="preserve">units billed on </w:t>
            </w:r>
            <w:r w:rsidR="004C2FD7" w:rsidRPr="00AE0294">
              <w:rPr>
                <w:rFonts w:asciiTheme="minorHAnsi" w:hAnsiTheme="minorHAnsi" w:cstheme="minorHAnsi"/>
                <w:b/>
                <w:u w:val="single"/>
                <w:lang w:val="en-US"/>
              </w:rPr>
              <w:t xml:space="preserve">pro-rata basis by considering the same for </w:t>
            </w:r>
            <w:r w:rsidR="004C2FD7" w:rsidRPr="00AE0294">
              <w:rPr>
                <w:rFonts w:asciiTheme="minorHAnsi" w:hAnsiTheme="minorHAnsi" w:cstheme="minorHAnsi"/>
                <w:b/>
                <w:u w:val="single"/>
                <w:lang w:val="en-US"/>
              </w:rPr>
              <w:lastRenderedPageBreak/>
              <w:t>the full year</w:t>
            </w:r>
            <w:r w:rsidR="00F46AD0" w:rsidRPr="00AE0294">
              <w:rPr>
                <w:rFonts w:asciiTheme="minorHAnsi" w:hAnsiTheme="minorHAnsi" w:cstheme="minorHAnsi"/>
                <w:lang w:val="en-US"/>
              </w:rPr>
              <w:t>.</w:t>
            </w:r>
          </w:p>
          <w:p w:rsidR="00C6492A" w:rsidRPr="00AE0294" w:rsidRDefault="004C2FD7" w:rsidP="00BC3A95">
            <w:pPr>
              <w:pStyle w:val="ListParagraph"/>
              <w:numPr>
                <w:ilvl w:val="0"/>
                <w:numId w:val="14"/>
              </w:numPr>
              <w:tabs>
                <w:tab w:val="left" w:pos="1833"/>
              </w:tabs>
              <w:autoSpaceDE w:val="0"/>
              <w:autoSpaceDN w:val="0"/>
              <w:spacing w:line="360" w:lineRule="auto"/>
              <w:ind w:left="337"/>
              <w:rPr>
                <w:rFonts w:asciiTheme="minorHAnsi" w:hAnsiTheme="minorHAnsi" w:cstheme="minorHAnsi"/>
              </w:rPr>
            </w:pPr>
            <w:r w:rsidRPr="00AE0294">
              <w:rPr>
                <w:rFonts w:asciiTheme="minorHAnsi" w:hAnsiTheme="minorHAnsi" w:cstheme="minorHAnsi"/>
                <w:lang w:val="en-US"/>
              </w:rPr>
              <w:t xml:space="preserve">The above runs contrary to the principle held by the Hon’ble Supreme Court in its Judgment dated 18.10.2022  wherein it has held that </w:t>
            </w:r>
            <w:r w:rsidRPr="00AE0294">
              <w:rPr>
                <w:rFonts w:asciiTheme="minorHAnsi" w:hAnsiTheme="minorHAnsi" w:cstheme="minorHAnsi"/>
                <w:i/>
                <w:lang w:val="en-US"/>
              </w:rPr>
              <w:t>“</w:t>
            </w:r>
            <w:r w:rsidR="006249C3" w:rsidRPr="00AE0294">
              <w:rPr>
                <w:rFonts w:asciiTheme="minorHAnsi" w:hAnsiTheme="minorHAnsi" w:cstheme="minorHAnsi"/>
                <w:i/>
                <w:lang w:val="en-IN"/>
              </w:rPr>
              <w:t>..</w:t>
            </w:r>
            <w:r w:rsidRPr="00AE0294">
              <w:rPr>
                <w:rFonts w:asciiTheme="minorHAnsi" w:hAnsiTheme="minorHAnsi" w:cstheme="minorHAnsi"/>
                <w:i/>
                <w:lang w:val="en-IN"/>
              </w:rPr>
              <w:t>.</w:t>
            </w:r>
            <w:r w:rsidR="006249C3" w:rsidRPr="00AE0294">
              <w:rPr>
                <w:rFonts w:asciiTheme="minorHAnsi" w:hAnsiTheme="minorHAnsi" w:cstheme="minorHAnsi"/>
                <w:i/>
                <w:lang w:val="en-IN"/>
              </w:rPr>
              <w:t>a</w:t>
            </w:r>
            <w:r w:rsidRPr="00AE0294">
              <w:rPr>
                <w:rFonts w:asciiTheme="minorHAnsi" w:hAnsiTheme="minorHAnsi" w:cstheme="minorHAnsi"/>
                <w:i/>
                <w:lang w:val="en-IN"/>
              </w:rPr>
              <w:t xml:space="preserve"> tariff order is quasijudicial</w:t>
            </w:r>
            <w:r w:rsidR="00574CBC" w:rsidRPr="00AE0294">
              <w:rPr>
                <w:rFonts w:asciiTheme="minorHAnsi" w:hAnsiTheme="minorHAnsi" w:cstheme="minorHAnsi"/>
                <w:i/>
                <w:lang w:val="en-IN"/>
              </w:rPr>
              <w:t xml:space="preserve"> </w:t>
            </w:r>
            <w:r w:rsidRPr="00AE0294">
              <w:rPr>
                <w:rFonts w:asciiTheme="minorHAnsi" w:hAnsiTheme="minorHAnsi" w:cstheme="minorHAnsi"/>
                <w:i/>
                <w:lang w:val="en-IN"/>
              </w:rPr>
              <w:t>in naturewhich becomes final and binding on the parties unless it isamended or revoked under Section 64(6) or set aside by the Appellate</w:t>
            </w:r>
            <w:r w:rsidR="00574CBC" w:rsidRPr="00AE0294">
              <w:rPr>
                <w:rFonts w:asciiTheme="minorHAnsi" w:hAnsiTheme="minorHAnsi" w:cstheme="minorHAnsi"/>
                <w:i/>
                <w:lang w:val="en-IN"/>
              </w:rPr>
              <w:t xml:space="preserve"> </w:t>
            </w:r>
            <w:r w:rsidRPr="00AE0294">
              <w:rPr>
                <w:rFonts w:asciiTheme="minorHAnsi" w:hAnsiTheme="minorHAnsi" w:cstheme="minorHAnsi"/>
                <w:i/>
                <w:lang w:val="en-IN"/>
              </w:rPr>
              <w:t>Authority.</w:t>
            </w:r>
            <w:r w:rsidR="006249C3" w:rsidRPr="00AE0294">
              <w:rPr>
                <w:rFonts w:asciiTheme="minorHAnsi" w:hAnsiTheme="minorHAnsi" w:cstheme="minorHAnsi"/>
                <w:i/>
                <w:lang w:val="en-US"/>
              </w:rPr>
              <w:t>”</w:t>
            </w:r>
            <w:r w:rsidR="002903A2" w:rsidRPr="00AE0294">
              <w:rPr>
                <w:rFonts w:asciiTheme="minorHAnsi" w:hAnsiTheme="minorHAnsi" w:cstheme="minorHAnsi"/>
                <w:i/>
                <w:lang w:val="en-US"/>
              </w:rPr>
              <w:t xml:space="preserve">. </w:t>
            </w:r>
            <w:r w:rsidR="002903A2" w:rsidRPr="00AE0294">
              <w:rPr>
                <w:rFonts w:asciiTheme="minorHAnsi" w:hAnsiTheme="minorHAnsi" w:cstheme="minorHAnsi"/>
                <w:lang w:val="en-US"/>
              </w:rPr>
              <w:t xml:space="preserve">Notably, the principle at </w:t>
            </w:r>
            <w:r w:rsidR="002903A2" w:rsidRPr="00AE0294">
              <w:rPr>
                <w:rFonts w:asciiTheme="minorHAnsi" w:hAnsiTheme="minorHAnsi" w:cstheme="minorHAnsi"/>
                <w:bCs/>
                <w:color w:val="000000"/>
                <w:lang w:val="en-US"/>
              </w:rPr>
              <w:t>Para 3.19 of Tariff Order dated 13.07.2012 was not set aside by the Hon’ble Tribunal</w:t>
            </w:r>
            <w:r w:rsidR="00013959" w:rsidRPr="00AE0294">
              <w:rPr>
                <w:rFonts w:asciiTheme="minorHAnsi" w:hAnsiTheme="minorHAnsi" w:cstheme="minorHAnsi"/>
                <w:bCs/>
                <w:color w:val="000000"/>
                <w:lang w:val="en-US"/>
              </w:rPr>
              <w:t xml:space="preserve"> but was suo-moto done by the Hon’ble Commission. </w:t>
            </w:r>
          </w:p>
        </w:tc>
        <w:tc>
          <w:tcPr>
            <w:tcW w:w="3537" w:type="dxa"/>
            <w:tcBorders>
              <w:top w:val="single" w:sz="6" w:space="0" w:color="000000"/>
              <w:left w:val="single" w:sz="6" w:space="0" w:color="000000"/>
              <w:bottom w:val="single" w:sz="6" w:space="0" w:color="000000"/>
              <w:right w:val="single" w:sz="6" w:space="0" w:color="000000"/>
            </w:tcBorders>
          </w:tcPr>
          <w:p w:rsidR="00C6492A" w:rsidRPr="00AE0294" w:rsidRDefault="00C6492A" w:rsidP="00BC3A95">
            <w:pPr>
              <w:pStyle w:val="ListParagraph"/>
              <w:numPr>
                <w:ilvl w:val="0"/>
                <w:numId w:val="14"/>
              </w:numPr>
              <w:autoSpaceDE w:val="0"/>
              <w:autoSpaceDN w:val="0"/>
              <w:spacing w:line="360" w:lineRule="auto"/>
              <w:ind w:left="281"/>
              <w:rPr>
                <w:rFonts w:asciiTheme="minorHAnsi" w:hAnsiTheme="minorHAnsi" w:cstheme="minorHAnsi"/>
              </w:rPr>
            </w:pPr>
            <w:r w:rsidRPr="00AE0294">
              <w:rPr>
                <w:rFonts w:asciiTheme="minorHAnsi" w:hAnsiTheme="minorHAnsi" w:cstheme="minorHAnsi"/>
              </w:rPr>
              <w:lastRenderedPageBreak/>
              <w:t>Petitioner req</w:t>
            </w:r>
            <w:r w:rsidR="00F46AD0" w:rsidRPr="00AE0294">
              <w:rPr>
                <w:rFonts w:asciiTheme="minorHAnsi" w:hAnsiTheme="minorHAnsi" w:cstheme="minorHAnsi"/>
              </w:rPr>
              <w:t>uests the Hon’ble Commission to</w:t>
            </w:r>
            <w:r w:rsidRPr="00AE0294">
              <w:rPr>
                <w:rFonts w:asciiTheme="minorHAnsi" w:hAnsiTheme="minorHAnsi" w:cstheme="minorHAnsi"/>
                <w:lang w:val="en-US"/>
              </w:rPr>
              <w:t xml:space="preserve"> reverse the</w:t>
            </w:r>
            <w:r w:rsidR="00013959" w:rsidRPr="00AE0294">
              <w:rPr>
                <w:rFonts w:asciiTheme="minorHAnsi" w:hAnsiTheme="minorHAnsi" w:cstheme="minorHAnsi"/>
                <w:lang w:val="en-US"/>
              </w:rPr>
              <w:t xml:space="preserve"> suo-moto</w:t>
            </w:r>
            <w:r w:rsidRPr="00AE0294">
              <w:rPr>
                <w:rFonts w:asciiTheme="minorHAnsi" w:hAnsiTheme="minorHAnsi" w:cstheme="minorHAnsi"/>
                <w:lang w:val="en-US"/>
              </w:rPr>
              <w:t xml:space="preserve"> treatment</w:t>
            </w:r>
            <w:r w:rsidR="00013959" w:rsidRPr="00AE0294">
              <w:rPr>
                <w:rFonts w:asciiTheme="minorHAnsi" w:hAnsiTheme="minorHAnsi" w:cstheme="minorHAnsi"/>
                <w:lang w:val="en-US"/>
              </w:rPr>
              <w:t xml:space="preserve"> done at Para 3.132 of Tariff Order dated 29.09.2015</w:t>
            </w:r>
            <w:r w:rsidR="009249FD" w:rsidRPr="00AE0294">
              <w:rPr>
                <w:rFonts w:asciiTheme="minorHAnsi" w:hAnsiTheme="minorHAnsi" w:cstheme="minorHAnsi"/>
                <w:lang w:val="en-US"/>
              </w:rPr>
              <w:t xml:space="preserve"> </w:t>
            </w:r>
            <w:r w:rsidR="00F46AD0" w:rsidRPr="00AE0294">
              <w:rPr>
                <w:rFonts w:asciiTheme="minorHAnsi" w:hAnsiTheme="minorHAnsi" w:cstheme="minorHAnsi"/>
                <w:lang w:val="en-US"/>
              </w:rPr>
              <w:t>and</w:t>
            </w:r>
            <w:r w:rsidR="009249FD" w:rsidRPr="00AE0294">
              <w:rPr>
                <w:rFonts w:asciiTheme="minorHAnsi" w:hAnsiTheme="minorHAnsi" w:cstheme="minorHAnsi"/>
                <w:lang w:val="en-US"/>
              </w:rPr>
              <w:t xml:space="preserve"> </w:t>
            </w:r>
            <w:r w:rsidR="00F46AD0" w:rsidRPr="00AE0294">
              <w:rPr>
                <w:rFonts w:asciiTheme="minorHAnsi" w:hAnsiTheme="minorHAnsi" w:cstheme="minorHAnsi"/>
                <w:lang w:val="en-US"/>
              </w:rPr>
              <w:t>allow</w:t>
            </w:r>
            <w:r w:rsidR="00C81352" w:rsidRPr="00AE0294">
              <w:rPr>
                <w:rFonts w:asciiTheme="minorHAnsi" w:hAnsiTheme="minorHAnsi" w:cstheme="minorHAnsi"/>
                <w:lang w:val="en-US"/>
              </w:rPr>
              <w:t xml:space="preserve"> ₹ </w:t>
            </w:r>
            <w:r w:rsidR="00771F44" w:rsidRPr="00AE0294">
              <w:rPr>
                <w:rFonts w:asciiTheme="minorHAnsi" w:hAnsiTheme="minorHAnsi" w:cstheme="minorHAnsi"/>
                <w:lang w:val="en-US"/>
              </w:rPr>
              <w:t xml:space="preserve"> 267 Crores</w:t>
            </w:r>
            <w:r w:rsidR="00F46AD0" w:rsidRPr="00AE0294">
              <w:rPr>
                <w:rFonts w:asciiTheme="minorHAnsi" w:hAnsiTheme="minorHAnsi" w:cstheme="minorHAnsi"/>
                <w:lang w:val="en-US"/>
              </w:rPr>
              <w:t xml:space="preserve"> (including carrying cost).</w:t>
            </w:r>
          </w:p>
          <w:p w:rsidR="00771F44" w:rsidRPr="00AE0294" w:rsidRDefault="00771F44" w:rsidP="00BC3A95">
            <w:pPr>
              <w:pStyle w:val="ListParagraph"/>
              <w:numPr>
                <w:ilvl w:val="0"/>
                <w:numId w:val="14"/>
              </w:numPr>
              <w:autoSpaceDE w:val="0"/>
              <w:autoSpaceDN w:val="0"/>
              <w:spacing w:line="360" w:lineRule="auto"/>
              <w:ind w:left="281"/>
              <w:rPr>
                <w:rFonts w:asciiTheme="minorHAnsi" w:hAnsiTheme="minorHAnsi" w:cstheme="minorHAnsi"/>
              </w:rPr>
            </w:pPr>
            <w:r w:rsidRPr="00AE0294">
              <w:rPr>
                <w:rFonts w:asciiTheme="minorHAnsi" w:hAnsiTheme="minorHAnsi" w:cstheme="minorHAnsi"/>
                <w:color w:val="000000"/>
              </w:rPr>
              <w:lastRenderedPageBreak/>
              <w:t xml:space="preserve">The detailed computation is enclosed as </w:t>
            </w:r>
            <w:r w:rsidRPr="00AE0294">
              <w:rPr>
                <w:rFonts w:asciiTheme="minorHAnsi" w:hAnsiTheme="minorHAnsi" w:cstheme="minorHAnsi"/>
                <w:b/>
                <w:color w:val="000000"/>
              </w:rPr>
              <w:t>Annexure – 3B(ii)</w:t>
            </w:r>
            <w:r w:rsidRPr="00AE0294">
              <w:rPr>
                <w:rFonts w:asciiTheme="minorHAnsi" w:hAnsiTheme="minorHAnsi" w:cstheme="minorHAnsi"/>
                <w:color w:val="000000"/>
              </w:rPr>
              <w:t>.</w:t>
            </w:r>
          </w:p>
          <w:p w:rsidR="00C6492A" w:rsidRPr="00AE0294" w:rsidRDefault="00C6492A" w:rsidP="00C6492A">
            <w:pPr>
              <w:autoSpaceDE w:val="0"/>
              <w:autoSpaceDN w:val="0"/>
              <w:adjustRightInd w:val="0"/>
              <w:spacing w:after="0" w:line="360" w:lineRule="auto"/>
              <w:jc w:val="both"/>
              <w:rPr>
                <w:rFonts w:cstheme="minorHAnsi"/>
                <w:sz w:val="24"/>
                <w:szCs w:val="24"/>
              </w:rPr>
            </w:pPr>
          </w:p>
        </w:tc>
      </w:tr>
      <w:tr w:rsidR="00657C48" w:rsidRPr="00AE0294" w:rsidTr="009249FD">
        <w:trPr>
          <w:trHeight w:val="970"/>
        </w:trPr>
        <w:tc>
          <w:tcPr>
            <w:tcW w:w="745" w:type="dxa"/>
            <w:tcBorders>
              <w:top w:val="single" w:sz="6" w:space="0" w:color="000000"/>
              <w:left w:val="single" w:sz="6" w:space="0" w:color="000000"/>
              <w:bottom w:val="single" w:sz="6" w:space="0" w:color="000000"/>
              <w:right w:val="single" w:sz="6" w:space="0" w:color="000000"/>
            </w:tcBorders>
          </w:tcPr>
          <w:p w:rsidR="00C6492A" w:rsidRPr="00AE0294" w:rsidRDefault="00C6492A" w:rsidP="00BC3A95">
            <w:pPr>
              <w:pStyle w:val="ListParagraph"/>
              <w:widowControl/>
              <w:numPr>
                <w:ilvl w:val="0"/>
                <w:numId w:val="9"/>
              </w:numPr>
              <w:autoSpaceDE w:val="0"/>
              <w:autoSpaceDN w:val="0"/>
              <w:spacing w:line="360" w:lineRule="auto"/>
              <w:textAlignment w:val="auto"/>
              <w:rPr>
                <w:rFonts w:asciiTheme="minorHAnsi" w:hAnsiTheme="minorHAnsi" w:cstheme="minorHAnsi"/>
                <w:color w:val="000000"/>
              </w:rPr>
            </w:pPr>
          </w:p>
        </w:tc>
        <w:tc>
          <w:tcPr>
            <w:tcW w:w="2340" w:type="dxa"/>
            <w:tcBorders>
              <w:top w:val="single" w:sz="6" w:space="0" w:color="000000"/>
              <w:left w:val="single" w:sz="6" w:space="0" w:color="000000"/>
              <w:bottom w:val="single" w:sz="6" w:space="0" w:color="000000"/>
              <w:right w:val="single" w:sz="6" w:space="0" w:color="000000"/>
            </w:tcBorders>
          </w:tcPr>
          <w:p w:rsidR="003C7E37" w:rsidRPr="00AE0294" w:rsidRDefault="00C6492A" w:rsidP="00C6492A">
            <w:pPr>
              <w:autoSpaceDE w:val="0"/>
              <w:autoSpaceDN w:val="0"/>
              <w:adjustRightInd w:val="0"/>
              <w:spacing w:after="0" w:line="360" w:lineRule="auto"/>
              <w:jc w:val="both"/>
              <w:rPr>
                <w:rFonts w:cstheme="minorHAnsi"/>
                <w:color w:val="000000"/>
                <w:sz w:val="24"/>
                <w:szCs w:val="24"/>
              </w:rPr>
            </w:pPr>
            <w:r w:rsidRPr="00AE0294">
              <w:rPr>
                <w:rFonts w:cstheme="minorHAnsi"/>
                <w:color w:val="000000"/>
                <w:sz w:val="24"/>
                <w:szCs w:val="24"/>
              </w:rPr>
              <w:t>Disa</w:t>
            </w:r>
            <w:r w:rsidR="003C7E37" w:rsidRPr="00AE0294">
              <w:rPr>
                <w:rFonts w:cstheme="minorHAnsi"/>
                <w:color w:val="000000"/>
                <w:sz w:val="24"/>
                <w:szCs w:val="24"/>
              </w:rPr>
              <w:t>llowances of R&amp;M Expenses for:</w:t>
            </w:r>
          </w:p>
          <w:p w:rsidR="00C6492A" w:rsidRPr="00AE0294" w:rsidRDefault="003C7E37" w:rsidP="00BC3A95">
            <w:pPr>
              <w:pStyle w:val="ListParagraph"/>
              <w:numPr>
                <w:ilvl w:val="1"/>
                <w:numId w:val="10"/>
              </w:numPr>
              <w:autoSpaceDE w:val="0"/>
              <w:autoSpaceDN w:val="0"/>
              <w:spacing w:line="360" w:lineRule="auto"/>
              <w:ind w:left="417"/>
              <w:rPr>
                <w:rFonts w:asciiTheme="minorHAnsi" w:hAnsiTheme="minorHAnsi" w:cstheme="minorHAnsi"/>
                <w:color w:val="000000"/>
              </w:rPr>
            </w:pPr>
            <w:r w:rsidRPr="00AE0294">
              <w:rPr>
                <w:rFonts w:asciiTheme="minorHAnsi" w:hAnsiTheme="minorHAnsi" w:cstheme="minorHAnsi"/>
                <w:color w:val="000000"/>
              </w:rPr>
              <w:t>1</w:t>
            </w:r>
            <w:r w:rsidRPr="00AE0294">
              <w:rPr>
                <w:rFonts w:asciiTheme="minorHAnsi" w:hAnsiTheme="minorHAnsi" w:cstheme="minorHAnsi"/>
                <w:color w:val="000000"/>
                <w:vertAlign w:val="superscript"/>
              </w:rPr>
              <w:t>st</w:t>
            </w:r>
            <w:r w:rsidRPr="00AE0294">
              <w:rPr>
                <w:rFonts w:asciiTheme="minorHAnsi" w:hAnsiTheme="minorHAnsi" w:cstheme="minorHAnsi"/>
                <w:color w:val="000000"/>
              </w:rPr>
              <w:t xml:space="preserve"> MYT period (FY 07-08 to FY 11-12</w:t>
            </w:r>
            <w:r w:rsidR="00C6492A" w:rsidRPr="00AE0294">
              <w:rPr>
                <w:rFonts w:asciiTheme="minorHAnsi" w:hAnsiTheme="minorHAnsi" w:cstheme="minorHAnsi"/>
                <w:color w:val="000000"/>
              </w:rPr>
              <w:t>)</w:t>
            </w:r>
          </w:p>
          <w:p w:rsidR="003C7E37" w:rsidRPr="00AE0294" w:rsidRDefault="003C7E37" w:rsidP="00BC3A95">
            <w:pPr>
              <w:pStyle w:val="ListParagraph"/>
              <w:numPr>
                <w:ilvl w:val="1"/>
                <w:numId w:val="10"/>
              </w:numPr>
              <w:autoSpaceDE w:val="0"/>
              <w:autoSpaceDN w:val="0"/>
              <w:spacing w:line="360" w:lineRule="auto"/>
              <w:ind w:left="417"/>
              <w:rPr>
                <w:rFonts w:asciiTheme="minorHAnsi" w:hAnsiTheme="minorHAnsi" w:cstheme="minorHAnsi"/>
                <w:color w:val="000000"/>
              </w:rPr>
            </w:pPr>
            <w:r w:rsidRPr="00AE0294">
              <w:rPr>
                <w:rFonts w:asciiTheme="minorHAnsi" w:hAnsiTheme="minorHAnsi" w:cstheme="minorHAnsi"/>
                <w:color w:val="000000"/>
              </w:rPr>
              <w:t>2</w:t>
            </w:r>
            <w:r w:rsidRPr="00AE0294">
              <w:rPr>
                <w:rFonts w:asciiTheme="minorHAnsi" w:hAnsiTheme="minorHAnsi" w:cstheme="minorHAnsi"/>
                <w:color w:val="000000"/>
                <w:vertAlign w:val="superscript"/>
              </w:rPr>
              <w:t>nd</w:t>
            </w:r>
            <w:r w:rsidRPr="00AE0294">
              <w:rPr>
                <w:rFonts w:asciiTheme="minorHAnsi" w:hAnsiTheme="minorHAnsi" w:cstheme="minorHAnsi"/>
                <w:color w:val="000000"/>
              </w:rPr>
              <w:t xml:space="preserve"> MYT period (FY 12-13 to FY 15-16)</w:t>
            </w:r>
          </w:p>
        </w:tc>
        <w:tc>
          <w:tcPr>
            <w:tcW w:w="4111" w:type="dxa"/>
            <w:tcBorders>
              <w:top w:val="single" w:sz="6" w:space="0" w:color="000000"/>
              <w:left w:val="single" w:sz="6" w:space="0" w:color="000000"/>
              <w:bottom w:val="single" w:sz="6" w:space="0" w:color="000000"/>
              <w:right w:val="single" w:sz="6" w:space="0" w:color="000000"/>
            </w:tcBorders>
          </w:tcPr>
          <w:p w:rsidR="00D43F91" w:rsidRPr="00AE0294" w:rsidRDefault="00D43F91" w:rsidP="00D43F91">
            <w:pPr>
              <w:pStyle w:val="ListParagraph"/>
              <w:numPr>
                <w:ilvl w:val="4"/>
                <w:numId w:val="3"/>
              </w:numPr>
              <w:autoSpaceDE w:val="0"/>
              <w:autoSpaceDN w:val="0"/>
              <w:spacing w:line="360" w:lineRule="auto"/>
              <w:ind w:left="425"/>
              <w:rPr>
                <w:rFonts w:asciiTheme="minorHAnsi" w:hAnsiTheme="minorHAnsi" w:cstheme="minorHAnsi"/>
                <w:b/>
                <w:color w:val="000000"/>
              </w:rPr>
            </w:pPr>
            <w:r w:rsidRPr="00AE0294">
              <w:rPr>
                <w:rFonts w:asciiTheme="minorHAnsi" w:hAnsiTheme="minorHAnsi" w:cstheme="minorHAnsi"/>
                <w:b/>
                <w:color w:val="000000"/>
              </w:rPr>
              <w:t>1</w:t>
            </w:r>
            <w:r w:rsidRPr="00AE0294">
              <w:rPr>
                <w:rFonts w:asciiTheme="minorHAnsi" w:hAnsiTheme="minorHAnsi" w:cstheme="minorHAnsi"/>
                <w:b/>
                <w:color w:val="000000"/>
                <w:vertAlign w:val="superscript"/>
              </w:rPr>
              <w:t>st</w:t>
            </w:r>
            <w:r w:rsidRPr="00AE0294">
              <w:rPr>
                <w:rFonts w:asciiTheme="minorHAnsi" w:hAnsiTheme="minorHAnsi" w:cstheme="minorHAnsi"/>
                <w:b/>
                <w:color w:val="000000"/>
              </w:rPr>
              <w:t xml:space="preserve"> MYT period (FY 07-08 to FY 11-12):</w:t>
            </w:r>
          </w:p>
          <w:p w:rsidR="00C6492A" w:rsidRPr="00AE0294" w:rsidRDefault="00C6492A" w:rsidP="00BC3A95">
            <w:pPr>
              <w:pStyle w:val="ListParagraph"/>
              <w:numPr>
                <w:ilvl w:val="0"/>
                <w:numId w:val="14"/>
              </w:numPr>
              <w:autoSpaceDE w:val="0"/>
              <w:autoSpaceDN w:val="0"/>
              <w:spacing w:line="360" w:lineRule="auto"/>
              <w:ind w:left="281"/>
              <w:rPr>
                <w:rFonts w:asciiTheme="minorHAnsi" w:hAnsiTheme="minorHAnsi" w:cstheme="minorHAnsi"/>
                <w:bCs/>
                <w:color w:val="000000"/>
                <w:lang w:val="en-US"/>
              </w:rPr>
            </w:pPr>
            <w:r w:rsidRPr="00AE0294">
              <w:rPr>
                <w:rFonts w:asciiTheme="minorHAnsi" w:hAnsiTheme="minorHAnsi" w:cstheme="minorHAnsi"/>
                <w:bCs/>
                <w:color w:val="000000"/>
              </w:rPr>
              <w:t>The</w:t>
            </w:r>
            <w:r w:rsidRPr="00AE0294">
              <w:rPr>
                <w:rFonts w:asciiTheme="minorHAnsi" w:hAnsiTheme="minorHAnsi" w:cstheme="minorHAnsi"/>
                <w:bCs/>
                <w:color w:val="000000"/>
                <w:lang w:val="en-US"/>
              </w:rPr>
              <w:t xml:space="preserve"> Hon’ble Commission at Para 4.152 of MYT Order dated 23.02.2008 (for the period FY 2007-08 to FY 2011-12), provided that </w:t>
            </w:r>
            <w:r w:rsidRPr="00AE0294">
              <w:rPr>
                <w:rFonts w:asciiTheme="minorHAnsi" w:hAnsiTheme="minorHAnsi" w:cstheme="minorHAnsi"/>
                <w:b/>
                <w:bCs/>
                <w:i/>
                <w:color w:val="000000"/>
                <w:u w:val="single"/>
                <w:lang w:val="en-US"/>
              </w:rPr>
              <w:t>there would be no true up of R&amp;M expenses even if the Gross Fixed Assets (hereinafter referred to as “GFA”)were to change during the control period</w:t>
            </w:r>
            <w:r w:rsidRPr="00AE0294">
              <w:rPr>
                <w:rFonts w:asciiTheme="minorHAnsi" w:hAnsiTheme="minorHAnsi" w:cstheme="minorHAnsi"/>
                <w:bCs/>
                <w:color w:val="000000"/>
                <w:lang w:val="en-US"/>
              </w:rPr>
              <w:t>.</w:t>
            </w:r>
          </w:p>
          <w:p w:rsidR="00C6492A" w:rsidRPr="00AE0294" w:rsidRDefault="00C6492A" w:rsidP="00C6492A">
            <w:pPr>
              <w:tabs>
                <w:tab w:val="left" w:pos="1833"/>
              </w:tabs>
              <w:autoSpaceDE w:val="0"/>
              <w:autoSpaceDN w:val="0"/>
              <w:adjustRightInd w:val="0"/>
              <w:spacing w:after="0" w:line="360" w:lineRule="auto"/>
              <w:jc w:val="both"/>
              <w:rPr>
                <w:rFonts w:cstheme="minorHAnsi"/>
                <w:bCs/>
                <w:color w:val="000000"/>
                <w:sz w:val="24"/>
                <w:szCs w:val="24"/>
              </w:rPr>
            </w:pPr>
          </w:p>
          <w:p w:rsidR="00D43F91" w:rsidRPr="00AE0294" w:rsidRDefault="00D43F91" w:rsidP="00285620">
            <w:pPr>
              <w:pStyle w:val="ListParagraph"/>
              <w:numPr>
                <w:ilvl w:val="4"/>
                <w:numId w:val="3"/>
              </w:numPr>
              <w:autoSpaceDE w:val="0"/>
              <w:autoSpaceDN w:val="0"/>
              <w:spacing w:line="360" w:lineRule="auto"/>
              <w:ind w:left="392"/>
              <w:rPr>
                <w:rFonts w:asciiTheme="minorHAnsi" w:hAnsiTheme="minorHAnsi" w:cstheme="minorHAnsi"/>
                <w:b/>
                <w:color w:val="000000"/>
              </w:rPr>
            </w:pPr>
            <w:r w:rsidRPr="00AE0294">
              <w:rPr>
                <w:rFonts w:asciiTheme="minorHAnsi" w:hAnsiTheme="minorHAnsi" w:cstheme="minorHAnsi"/>
                <w:b/>
                <w:color w:val="000000"/>
              </w:rPr>
              <w:t>2</w:t>
            </w:r>
            <w:r w:rsidRPr="00AE0294">
              <w:rPr>
                <w:rFonts w:asciiTheme="minorHAnsi" w:hAnsiTheme="minorHAnsi" w:cstheme="minorHAnsi"/>
                <w:b/>
                <w:color w:val="000000"/>
                <w:vertAlign w:val="superscript"/>
              </w:rPr>
              <w:t>nd</w:t>
            </w:r>
            <w:r w:rsidRPr="00AE0294">
              <w:rPr>
                <w:rFonts w:asciiTheme="minorHAnsi" w:hAnsiTheme="minorHAnsi" w:cstheme="minorHAnsi"/>
                <w:b/>
                <w:color w:val="000000"/>
              </w:rPr>
              <w:t xml:space="preserve"> MYT period (FY 12-13 to FY 15-16):</w:t>
            </w:r>
          </w:p>
          <w:p w:rsidR="00AE406A" w:rsidRPr="00AE0294" w:rsidRDefault="00AE406A" w:rsidP="00AE406A">
            <w:pPr>
              <w:autoSpaceDE w:val="0"/>
              <w:autoSpaceDN w:val="0"/>
              <w:spacing w:line="360" w:lineRule="auto"/>
              <w:ind w:left="32"/>
              <w:jc w:val="both"/>
              <w:rPr>
                <w:rFonts w:cstheme="minorHAnsi"/>
                <w:i/>
                <w:color w:val="000000"/>
                <w:sz w:val="24"/>
                <w:szCs w:val="24"/>
              </w:rPr>
            </w:pPr>
            <w:r w:rsidRPr="00AE0294">
              <w:rPr>
                <w:rFonts w:cstheme="minorHAnsi"/>
                <w:color w:val="000000"/>
                <w:sz w:val="24"/>
                <w:szCs w:val="24"/>
              </w:rPr>
              <w:t>Hon’ble Commission in MYT Order dated 13.07.2012 at 4.155 has stated as under:</w:t>
            </w:r>
          </w:p>
          <w:p w:rsidR="00AE406A" w:rsidRPr="00AE0294" w:rsidRDefault="00AE406A" w:rsidP="00285620">
            <w:pPr>
              <w:autoSpaceDE w:val="0"/>
              <w:autoSpaceDN w:val="0"/>
              <w:spacing w:line="360" w:lineRule="auto"/>
              <w:ind w:left="32"/>
              <w:jc w:val="both"/>
              <w:rPr>
                <w:rFonts w:cstheme="minorHAnsi"/>
                <w:i/>
                <w:color w:val="000000"/>
                <w:sz w:val="24"/>
                <w:szCs w:val="24"/>
              </w:rPr>
            </w:pPr>
            <w:r w:rsidRPr="00AE0294">
              <w:rPr>
                <w:rFonts w:cstheme="minorHAnsi"/>
                <w:i/>
                <w:color w:val="000000"/>
                <w:sz w:val="24"/>
                <w:szCs w:val="24"/>
              </w:rPr>
              <w:lastRenderedPageBreak/>
              <w:t xml:space="preserve">“4.155 The Commission has used the methodology </w:t>
            </w:r>
            <w:r w:rsidRPr="00AE0294">
              <w:rPr>
                <w:rFonts w:cstheme="minorHAnsi"/>
                <w:b/>
                <w:i/>
                <w:color w:val="000000"/>
                <w:sz w:val="24"/>
                <w:szCs w:val="24"/>
                <w:u w:val="single"/>
              </w:rPr>
              <w:t>as specified in the MYT Regulations 2011</w:t>
            </w:r>
            <w:r w:rsidRPr="00AE0294">
              <w:rPr>
                <w:rFonts w:cstheme="minorHAnsi"/>
                <w:i/>
                <w:color w:val="000000"/>
                <w:sz w:val="24"/>
                <w:szCs w:val="24"/>
              </w:rPr>
              <w:t xml:space="preserve"> for calculation of O&amp;M expenses for the Control Period..” </w:t>
            </w:r>
          </w:p>
          <w:p w:rsidR="00297D54" w:rsidRPr="00AE0294" w:rsidRDefault="00297D54" w:rsidP="00285620">
            <w:pPr>
              <w:autoSpaceDE w:val="0"/>
              <w:autoSpaceDN w:val="0"/>
              <w:spacing w:line="360" w:lineRule="auto"/>
              <w:ind w:left="32"/>
              <w:jc w:val="both"/>
              <w:rPr>
                <w:rFonts w:cstheme="minorHAnsi"/>
                <w:color w:val="000000"/>
                <w:sz w:val="24"/>
                <w:szCs w:val="24"/>
              </w:rPr>
            </w:pPr>
            <w:r w:rsidRPr="00AE0294">
              <w:rPr>
                <w:rFonts w:cstheme="minorHAnsi"/>
                <w:color w:val="000000"/>
                <w:sz w:val="24"/>
                <w:szCs w:val="24"/>
              </w:rPr>
              <w:t xml:space="preserve">As per the Regulation 4.21(b) of the MYT Regulations 2011, the O&amp;M Expenses are not to be trued up. </w:t>
            </w:r>
          </w:p>
          <w:p w:rsidR="00AE406A" w:rsidRPr="00AE0294" w:rsidRDefault="00297D54" w:rsidP="00297D54">
            <w:pPr>
              <w:autoSpaceDE w:val="0"/>
              <w:autoSpaceDN w:val="0"/>
              <w:spacing w:line="360" w:lineRule="auto"/>
              <w:ind w:left="32"/>
              <w:jc w:val="both"/>
              <w:rPr>
                <w:rFonts w:cstheme="minorHAnsi"/>
                <w:color w:val="000000"/>
                <w:sz w:val="24"/>
                <w:szCs w:val="24"/>
              </w:rPr>
            </w:pPr>
            <w:r w:rsidRPr="00AE0294">
              <w:rPr>
                <w:rFonts w:cstheme="minorHAnsi"/>
                <w:color w:val="000000"/>
                <w:sz w:val="24"/>
                <w:szCs w:val="24"/>
              </w:rPr>
              <w:t xml:space="preserve">This has been also re-iterated by the Hon’ble Commission </w:t>
            </w:r>
            <w:r w:rsidR="00AE406A" w:rsidRPr="00AE0294">
              <w:rPr>
                <w:rFonts w:cstheme="minorHAnsi"/>
                <w:color w:val="000000"/>
                <w:sz w:val="24"/>
                <w:szCs w:val="24"/>
              </w:rPr>
              <w:t xml:space="preserve">in </w:t>
            </w:r>
            <w:r w:rsidRPr="00AE0294">
              <w:rPr>
                <w:rFonts w:cstheme="minorHAnsi"/>
                <w:color w:val="000000"/>
                <w:sz w:val="24"/>
                <w:szCs w:val="24"/>
              </w:rPr>
              <w:t xml:space="preserve">the </w:t>
            </w:r>
            <w:r w:rsidR="00AE406A" w:rsidRPr="00AE0294">
              <w:rPr>
                <w:rFonts w:cstheme="minorHAnsi"/>
                <w:color w:val="000000"/>
                <w:sz w:val="24"/>
                <w:szCs w:val="24"/>
              </w:rPr>
              <w:t>Tariff Order dated 31.07.2013 at Para 4.120</w:t>
            </w:r>
            <w:r w:rsidRPr="00AE0294">
              <w:rPr>
                <w:rFonts w:cstheme="minorHAnsi"/>
                <w:color w:val="000000"/>
                <w:sz w:val="24"/>
                <w:szCs w:val="24"/>
              </w:rPr>
              <w:t>,</w:t>
            </w:r>
            <w:r w:rsidR="00AE406A" w:rsidRPr="00AE0294">
              <w:rPr>
                <w:rFonts w:cstheme="minorHAnsi"/>
                <w:color w:val="000000"/>
                <w:sz w:val="24"/>
                <w:szCs w:val="24"/>
              </w:rPr>
              <w:t xml:space="preserve"> as </w:t>
            </w:r>
            <w:r w:rsidRPr="00AE0294">
              <w:rPr>
                <w:rFonts w:cstheme="minorHAnsi"/>
                <w:color w:val="000000"/>
                <w:sz w:val="24"/>
                <w:szCs w:val="24"/>
              </w:rPr>
              <w:t>follows</w:t>
            </w:r>
            <w:r w:rsidR="00AE406A" w:rsidRPr="00AE0294">
              <w:rPr>
                <w:rFonts w:cstheme="minorHAnsi"/>
                <w:color w:val="000000"/>
                <w:sz w:val="24"/>
                <w:szCs w:val="24"/>
              </w:rPr>
              <w:t xml:space="preserve">: </w:t>
            </w:r>
          </w:p>
          <w:p w:rsidR="00D43F91" w:rsidRPr="00AE0294" w:rsidRDefault="00AE406A" w:rsidP="00297D54">
            <w:pPr>
              <w:autoSpaceDE w:val="0"/>
              <w:autoSpaceDN w:val="0"/>
              <w:spacing w:line="360" w:lineRule="auto"/>
              <w:ind w:left="32"/>
              <w:jc w:val="both"/>
              <w:rPr>
                <w:rFonts w:cstheme="minorHAnsi"/>
                <w:bCs/>
                <w:color w:val="000000"/>
                <w:sz w:val="24"/>
                <w:szCs w:val="24"/>
              </w:rPr>
            </w:pPr>
            <w:r w:rsidRPr="00AE0294">
              <w:rPr>
                <w:rFonts w:cstheme="minorHAnsi"/>
                <w:bCs/>
                <w:i/>
                <w:color w:val="000000"/>
                <w:sz w:val="24"/>
                <w:szCs w:val="24"/>
              </w:rPr>
              <w:t xml:space="preserve">“4.120 The </w:t>
            </w:r>
            <w:r w:rsidRPr="00AE0294">
              <w:rPr>
                <w:rFonts w:cstheme="minorHAnsi"/>
                <w:b/>
                <w:bCs/>
                <w:i/>
                <w:color w:val="000000"/>
                <w:sz w:val="24"/>
                <w:szCs w:val="24"/>
                <w:u w:val="single"/>
              </w:rPr>
              <w:t>O&amp;M Expenses are considered as Controllable Parameter under Clause 4.21 (b) (i) of MYT Regulations, 2011</w:t>
            </w:r>
            <w:r w:rsidRPr="00AE0294">
              <w:rPr>
                <w:rFonts w:cstheme="minorHAnsi"/>
                <w:bCs/>
                <w:i/>
                <w:color w:val="000000"/>
                <w:sz w:val="24"/>
                <w:szCs w:val="24"/>
              </w:rPr>
              <w:t xml:space="preserve">. This Regulation specified that </w:t>
            </w:r>
            <w:r w:rsidRPr="00AE0294">
              <w:rPr>
                <w:rFonts w:cstheme="minorHAnsi"/>
                <w:b/>
                <w:bCs/>
                <w:i/>
                <w:color w:val="000000"/>
                <w:sz w:val="24"/>
                <w:szCs w:val="24"/>
                <w:u w:val="single"/>
              </w:rPr>
              <w:t xml:space="preserve">any surplus or deficit on account of O&amp;M Expense shall be to </w:t>
            </w:r>
            <w:r w:rsidRPr="00AE0294">
              <w:rPr>
                <w:rFonts w:cstheme="minorHAnsi"/>
                <w:b/>
                <w:bCs/>
                <w:i/>
                <w:color w:val="000000"/>
                <w:sz w:val="24"/>
                <w:szCs w:val="24"/>
                <w:u w:val="single"/>
              </w:rPr>
              <w:lastRenderedPageBreak/>
              <w:t>the account of the Licensee and shall not be tr</w:t>
            </w:r>
            <w:r w:rsidR="00297D54" w:rsidRPr="00AE0294">
              <w:rPr>
                <w:rFonts w:cstheme="minorHAnsi"/>
                <w:b/>
                <w:bCs/>
                <w:i/>
                <w:color w:val="000000"/>
                <w:sz w:val="24"/>
                <w:szCs w:val="24"/>
                <w:u w:val="single"/>
              </w:rPr>
              <w:t>ued up in the ARR. In view of this Petitioner has not sought any revision of the O&amp;M Expense approved in the ARR for FY 2013-14 in the MYT Order of 13th July 2012.</w:t>
            </w:r>
            <w:r w:rsidRPr="00AE0294">
              <w:rPr>
                <w:rFonts w:cstheme="minorHAnsi"/>
                <w:b/>
                <w:bCs/>
                <w:i/>
                <w:color w:val="000000"/>
                <w:sz w:val="24"/>
                <w:szCs w:val="24"/>
                <w:u w:val="single"/>
              </w:rPr>
              <w:t>”</w:t>
            </w:r>
            <w:r w:rsidRPr="00AE0294">
              <w:rPr>
                <w:rFonts w:cstheme="minorHAnsi"/>
                <w:bCs/>
                <w:i/>
                <w:color w:val="000000"/>
                <w:sz w:val="24"/>
                <w:szCs w:val="24"/>
              </w:rPr>
              <w:t>.</w:t>
            </w:r>
          </w:p>
        </w:tc>
        <w:tc>
          <w:tcPr>
            <w:tcW w:w="3969" w:type="dxa"/>
            <w:tcBorders>
              <w:top w:val="single" w:sz="6" w:space="0" w:color="000000"/>
              <w:left w:val="single" w:sz="6" w:space="0" w:color="000000"/>
              <w:bottom w:val="single" w:sz="6" w:space="0" w:color="000000"/>
              <w:right w:val="single" w:sz="6" w:space="0" w:color="000000"/>
            </w:tcBorders>
          </w:tcPr>
          <w:p w:rsidR="00285620" w:rsidRPr="00AE0294" w:rsidRDefault="00285620" w:rsidP="00BC3A95">
            <w:pPr>
              <w:pStyle w:val="ListParagraph"/>
              <w:numPr>
                <w:ilvl w:val="0"/>
                <w:numId w:val="19"/>
              </w:numPr>
              <w:autoSpaceDE w:val="0"/>
              <w:autoSpaceDN w:val="0"/>
              <w:spacing w:line="360" w:lineRule="auto"/>
              <w:ind w:left="370"/>
              <w:rPr>
                <w:rFonts w:asciiTheme="minorHAnsi" w:hAnsiTheme="minorHAnsi" w:cstheme="minorHAnsi"/>
                <w:b/>
                <w:color w:val="000000"/>
              </w:rPr>
            </w:pPr>
            <w:r w:rsidRPr="00AE0294">
              <w:rPr>
                <w:rFonts w:asciiTheme="minorHAnsi" w:hAnsiTheme="minorHAnsi" w:cstheme="minorHAnsi"/>
                <w:b/>
                <w:color w:val="000000"/>
              </w:rPr>
              <w:lastRenderedPageBreak/>
              <w:t>1</w:t>
            </w:r>
            <w:r w:rsidRPr="00AE0294">
              <w:rPr>
                <w:rFonts w:asciiTheme="minorHAnsi" w:hAnsiTheme="minorHAnsi" w:cstheme="minorHAnsi"/>
                <w:b/>
                <w:color w:val="000000"/>
                <w:vertAlign w:val="superscript"/>
              </w:rPr>
              <w:t>st</w:t>
            </w:r>
            <w:r w:rsidRPr="00AE0294">
              <w:rPr>
                <w:rFonts w:asciiTheme="minorHAnsi" w:hAnsiTheme="minorHAnsi" w:cstheme="minorHAnsi"/>
                <w:b/>
                <w:color w:val="000000"/>
              </w:rPr>
              <w:t xml:space="preserve"> MYT period (FY 07-08 to FY 11-12):</w:t>
            </w:r>
          </w:p>
          <w:p w:rsidR="00C6492A" w:rsidRPr="00AE0294" w:rsidRDefault="00C6492A" w:rsidP="00BC3A95">
            <w:pPr>
              <w:pStyle w:val="ListParagraph"/>
              <w:numPr>
                <w:ilvl w:val="0"/>
                <w:numId w:val="14"/>
              </w:numPr>
              <w:autoSpaceDE w:val="0"/>
              <w:autoSpaceDN w:val="0"/>
              <w:spacing w:line="360" w:lineRule="auto"/>
              <w:ind w:left="281"/>
              <w:rPr>
                <w:rFonts w:asciiTheme="minorHAnsi" w:hAnsiTheme="minorHAnsi" w:cstheme="minorHAnsi"/>
              </w:rPr>
            </w:pPr>
            <w:r w:rsidRPr="00AE0294">
              <w:rPr>
                <w:rFonts w:asciiTheme="minorHAnsi" w:hAnsiTheme="minorHAnsi" w:cstheme="minorHAnsi"/>
              </w:rPr>
              <w:t xml:space="preserve">Hon’ble Commission at Para no. 3.147, 3.305, 3.166 of Tariff Order dated 29.09.2015 has </w:t>
            </w:r>
            <w:r w:rsidR="00D43F91" w:rsidRPr="00AE0294">
              <w:rPr>
                <w:rFonts w:asciiTheme="minorHAnsi" w:hAnsiTheme="minorHAnsi" w:cstheme="minorHAnsi"/>
                <w:b/>
                <w:u w:val="single"/>
              </w:rPr>
              <w:t>trued up</w:t>
            </w:r>
            <w:r w:rsidRPr="00AE0294">
              <w:rPr>
                <w:rFonts w:asciiTheme="minorHAnsi" w:hAnsiTheme="minorHAnsi" w:cstheme="minorHAnsi"/>
                <w:b/>
                <w:u w:val="single"/>
              </w:rPr>
              <w:t xml:space="preserve"> R&amp;M expenses </w:t>
            </w:r>
            <w:r w:rsidR="00D43F91" w:rsidRPr="00AE0294">
              <w:rPr>
                <w:rFonts w:asciiTheme="minorHAnsi" w:hAnsiTheme="minorHAnsi" w:cstheme="minorHAnsi"/>
                <w:b/>
                <w:u w:val="single"/>
              </w:rPr>
              <w:t xml:space="preserve">by considering the reduced GFA </w:t>
            </w:r>
            <w:r w:rsidR="00285620" w:rsidRPr="00AE0294">
              <w:rPr>
                <w:rFonts w:asciiTheme="minorHAnsi" w:hAnsiTheme="minorHAnsi" w:cstheme="minorHAnsi"/>
                <w:b/>
                <w:u w:val="single"/>
              </w:rPr>
              <w:t>and thereby changing the R&amp;M expenses projected at the time of ARR</w:t>
            </w:r>
            <w:r w:rsidRPr="00AE0294">
              <w:rPr>
                <w:rFonts w:asciiTheme="minorHAnsi" w:hAnsiTheme="minorHAnsi" w:cstheme="minorHAnsi"/>
              </w:rPr>
              <w:t xml:space="preserve">. </w:t>
            </w:r>
          </w:p>
          <w:p w:rsidR="00285620" w:rsidRPr="00AE0294" w:rsidRDefault="00285620" w:rsidP="00285620">
            <w:pPr>
              <w:pStyle w:val="ListParagraph"/>
              <w:autoSpaceDE w:val="0"/>
              <w:autoSpaceDN w:val="0"/>
              <w:spacing w:line="360" w:lineRule="auto"/>
              <w:ind w:left="281"/>
              <w:rPr>
                <w:rFonts w:asciiTheme="minorHAnsi" w:hAnsiTheme="minorHAnsi" w:cstheme="minorHAnsi"/>
              </w:rPr>
            </w:pPr>
          </w:p>
          <w:p w:rsidR="00285620" w:rsidRPr="00AE0294" w:rsidRDefault="00285620" w:rsidP="00285620">
            <w:pPr>
              <w:pStyle w:val="ListParagraph"/>
              <w:autoSpaceDE w:val="0"/>
              <w:autoSpaceDN w:val="0"/>
              <w:spacing w:line="360" w:lineRule="auto"/>
              <w:ind w:left="281"/>
              <w:rPr>
                <w:rFonts w:asciiTheme="minorHAnsi" w:hAnsiTheme="minorHAnsi" w:cstheme="minorHAnsi"/>
              </w:rPr>
            </w:pPr>
          </w:p>
          <w:p w:rsidR="00C6492A" w:rsidRPr="00AE0294" w:rsidRDefault="00285620" w:rsidP="00BC3A95">
            <w:pPr>
              <w:pStyle w:val="ListParagraph"/>
              <w:numPr>
                <w:ilvl w:val="0"/>
                <w:numId w:val="19"/>
              </w:numPr>
              <w:autoSpaceDE w:val="0"/>
              <w:autoSpaceDN w:val="0"/>
              <w:spacing w:line="360" w:lineRule="auto"/>
              <w:ind w:left="426"/>
              <w:rPr>
                <w:rFonts w:asciiTheme="minorHAnsi" w:hAnsiTheme="minorHAnsi" w:cstheme="minorHAnsi"/>
              </w:rPr>
            </w:pPr>
            <w:r w:rsidRPr="00AE0294">
              <w:rPr>
                <w:rFonts w:asciiTheme="minorHAnsi" w:hAnsiTheme="minorHAnsi" w:cstheme="minorHAnsi"/>
                <w:b/>
              </w:rPr>
              <w:t>2nd MYT period (FY 12-13 to FY 15-16):</w:t>
            </w:r>
          </w:p>
          <w:p w:rsidR="00C6492A" w:rsidRPr="00AE0294" w:rsidRDefault="00C6492A" w:rsidP="00BC3A95">
            <w:pPr>
              <w:pStyle w:val="ListParagraph"/>
              <w:numPr>
                <w:ilvl w:val="0"/>
                <w:numId w:val="14"/>
              </w:numPr>
              <w:autoSpaceDE w:val="0"/>
              <w:autoSpaceDN w:val="0"/>
              <w:spacing w:line="360" w:lineRule="auto"/>
              <w:ind w:left="281"/>
              <w:rPr>
                <w:rFonts w:asciiTheme="minorHAnsi" w:hAnsiTheme="minorHAnsi" w:cstheme="minorHAnsi"/>
              </w:rPr>
            </w:pPr>
            <w:r w:rsidRPr="00AE0294">
              <w:rPr>
                <w:rFonts w:asciiTheme="minorHAnsi" w:hAnsiTheme="minorHAnsi" w:cstheme="minorHAnsi"/>
              </w:rPr>
              <w:t xml:space="preserve">Hon’ble Commission </w:t>
            </w:r>
            <w:r w:rsidR="00354F33" w:rsidRPr="00AE0294">
              <w:rPr>
                <w:rFonts w:asciiTheme="minorHAnsi" w:hAnsiTheme="minorHAnsi" w:cstheme="minorHAnsi"/>
              </w:rPr>
              <w:t xml:space="preserve">at </w:t>
            </w:r>
            <w:r w:rsidR="00297D54" w:rsidRPr="00AE0294">
              <w:rPr>
                <w:rFonts w:asciiTheme="minorHAnsi" w:hAnsiTheme="minorHAnsi" w:cstheme="minorHAnsi"/>
              </w:rPr>
              <w:t xml:space="preserve">Para </w:t>
            </w:r>
            <w:r w:rsidR="00BA4439" w:rsidRPr="00AE0294">
              <w:rPr>
                <w:rFonts w:asciiTheme="minorHAnsi" w:hAnsiTheme="minorHAnsi" w:cstheme="minorHAnsi"/>
              </w:rPr>
              <w:t>4.36</w:t>
            </w:r>
            <w:r w:rsidR="0033465E" w:rsidRPr="00AE0294">
              <w:rPr>
                <w:rFonts w:asciiTheme="minorHAnsi" w:hAnsiTheme="minorHAnsi" w:cstheme="minorHAnsi"/>
              </w:rPr>
              <w:t xml:space="preserve"> of </w:t>
            </w:r>
            <w:r w:rsidR="00297D54" w:rsidRPr="00AE0294">
              <w:rPr>
                <w:rFonts w:asciiTheme="minorHAnsi" w:hAnsiTheme="minorHAnsi" w:cstheme="minorHAnsi"/>
              </w:rPr>
              <w:t xml:space="preserve">the </w:t>
            </w:r>
            <w:r w:rsidR="0033465E" w:rsidRPr="00AE0294">
              <w:rPr>
                <w:rFonts w:asciiTheme="minorHAnsi" w:hAnsiTheme="minorHAnsi" w:cstheme="minorHAnsi"/>
              </w:rPr>
              <w:t xml:space="preserve">Tariff Order dated 29.09.2015 and </w:t>
            </w:r>
            <w:r w:rsidR="00354F33" w:rsidRPr="00AE0294">
              <w:rPr>
                <w:rFonts w:asciiTheme="minorHAnsi" w:hAnsiTheme="minorHAnsi" w:cstheme="minorHAnsi"/>
              </w:rPr>
              <w:t xml:space="preserve">has </w:t>
            </w:r>
            <w:r w:rsidR="0033465E" w:rsidRPr="00AE0294">
              <w:rPr>
                <w:rFonts w:asciiTheme="minorHAnsi" w:hAnsiTheme="minorHAnsi" w:cstheme="minorHAnsi"/>
                <w:b/>
                <w:u w:val="single"/>
              </w:rPr>
              <w:t>trued up</w:t>
            </w:r>
            <w:r w:rsidRPr="00AE0294">
              <w:rPr>
                <w:rFonts w:asciiTheme="minorHAnsi" w:hAnsiTheme="minorHAnsi" w:cstheme="minorHAnsi"/>
                <w:b/>
                <w:u w:val="single"/>
              </w:rPr>
              <w:t xml:space="preserve"> R&amp;M </w:t>
            </w:r>
            <w:r w:rsidR="0033465E" w:rsidRPr="00AE0294">
              <w:rPr>
                <w:rFonts w:asciiTheme="minorHAnsi" w:hAnsiTheme="minorHAnsi" w:cstheme="minorHAnsi"/>
                <w:b/>
                <w:u w:val="single"/>
                <w:lang w:val="en-IN"/>
              </w:rPr>
              <w:t xml:space="preserve">by considering the reduced GFA and thereby changing the R&amp;M </w:t>
            </w:r>
            <w:r w:rsidR="0033465E" w:rsidRPr="00AE0294">
              <w:rPr>
                <w:rFonts w:asciiTheme="minorHAnsi" w:hAnsiTheme="minorHAnsi" w:cstheme="minorHAnsi"/>
                <w:b/>
                <w:u w:val="single"/>
                <w:lang w:val="en-IN"/>
              </w:rPr>
              <w:lastRenderedPageBreak/>
              <w:t>expenses projected at the time of ARR</w:t>
            </w:r>
            <w:r w:rsidRPr="00AE0294">
              <w:rPr>
                <w:rFonts w:asciiTheme="minorHAnsi" w:hAnsiTheme="minorHAnsi" w:cstheme="minorHAnsi"/>
              </w:rPr>
              <w:t xml:space="preserve">. </w:t>
            </w:r>
          </w:p>
          <w:p w:rsidR="00C6492A" w:rsidRPr="00AE0294" w:rsidRDefault="00C6492A" w:rsidP="00C6492A">
            <w:pPr>
              <w:autoSpaceDE w:val="0"/>
              <w:autoSpaceDN w:val="0"/>
              <w:adjustRightInd w:val="0"/>
              <w:spacing w:after="0" w:line="360" w:lineRule="auto"/>
              <w:jc w:val="both"/>
              <w:rPr>
                <w:rFonts w:cstheme="minorHAnsi"/>
                <w:sz w:val="24"/>
                <w:szCs w:val="24"/>
              </w:rPr>
            </w:pPr>
          </w:p>
        </w:tc>
        <w:tc>
          <w:tcPr>
            <w:tcW w:w="3537" w:type="dxa"/>
            <w:tcBorders>
              <w:top w:val="single" w:sz="6" w:space="0" w:color="000000"/>
              <w:left w:val="single" w:sz="6" w:space="0" w:color="000000"/>
              <w:bottom w:val="single" w:sz="6" w:space="0" w:color="000000"/>
              <w:right w:val="single" w:sz="6" w:space="0" w:color="000000"/>
            </w:tcBorders>
          </w:tcPr>
          <w:p w:rsidR="00C6492A" w:rsidRPr="00AE0294" w:rsidRDefault="00692AB1" w:rsidP="00BC3A95">
            <w:pPr>
              <w:pStyle w:val="ListParagraph"/>
              <w:numPr>
                <w:ilvl w:val="0"/>
                <w:numId w:val="14"/>
              </w:numPr>
              <w:autoSpaceDE w:val="0"/>
              <w:autoSpaceDN w:val="0"/>
              <w:spacing w:line="360" w:lineRule="auto"/>
              <w:ind w:left="281"/>
              <w:rPr>
                <w:rFonts w:asciiTheme="minorHAnsi" w:hAnsiTheme="minorHAnsi" w:cstheme="minorHAnsi"/>
              </w:rPr>
            </w:pPr>
            <w:r w:rsidRPr="00AE0294">
              <w:rPr>
                <w:rFonts w:asciiTheme="minorHAnsi" w:hAnsiTheme="minorHAnsi" w:cstheme="minorHAnsi"/>
              </w:rPr>
              <w:lastRenderedPageBreak/>
              <w:t>T</w:t>
            </w:r>
            <w:r w:rsidR="00C6492A" w:rsidRPr="00AE0294">
              <w:rPr>
                <w:rFonts w:asciiTheme="minorHAnsi" w:hAnsiTheme="minorHAnsi" w:cstheme="minorHAnsi"/>
              </w:rPr>
              <w:t xml:space="preserve">he Petitioner requests the Hon’ble Commission to restore the R&amp;M expenses from FY 2007-08 to FY 2015-16 at the level projected in respective Tariff Orders </w:t>
            </w:r>
            <w:r w:rsidR="00297D54" w:rsidRPr="00AE0294">
              <w:rPr>
                <w:rFonts w:asciiTheme="minorHAnsi" w:hAnsiTheme="minorHAnsi" w:cstheme="minorHAnsi"/>
              </w:rPr>
              <w:t xml:space="preserve">at the time of ARR </w:t>
            </w:r>
            <w:r w:rsidR="00C6492A" w:rsidRPr="00AE0294">
              <w:rPr>
                <w:rFonts w:asciiTheme="minorHAnsi" w:hAnsiTheme="minorHAnsi" w:cstheme="minorHAnsi"/>
              </w:rPr>
              <w:t xml:space="preserve">and allow the consequential impact </w:t>
            </w:r>
            <w:r w:rsidR="00297D54" w:rsidRPr="00AE0294">
              <w:rPr>
                <w:rFonts w:asciiTheme="minorHAnsi" w:hAnsiTheme="minorHAnsi" w:cstheme="minorHAnsi"/>
              </w:rPr>
              <w:t>for 1</w:t>
            </w:r>
            <w:r w:rsidR="00297D54" w:rsidRPr="00AE0294">
              <w:rPr>
                <w:rFonts w:asciiTheme="minorHAnsi" w:hAnsiTheme="minorHAnsi" w:cstheme="minorHAnsi"/>
                <w:vertAlign w:val="superscript"/>
              </w:rPr>
              <w:t>st</w:t>
            </w:r>
            <w:r w:rsidR="00297D54" w:rsidRPr="00AE0294">
              <w:rPr>
                <w:rFonts w:asciiTheme="minorHAnsi" w:hAnsiTheme="minorHAnsi" w:cstheme="minorHAnsi"/>
              </w:rPr>
              <w:t xml:space="preserve"> and 2</w:t>
            </w:r>
            <w:r w:rsidR="00297D54" w:rsidRPr="00AE0294">
              <w:rPr>
                <w:rFonts w:asciiTheme="minorHAnsi" w:hAnsiTheme="minorHAnsi" w:cstheme="minorHAnsi"/>
                <w:vertAlign w:val="superscript"/>
              </w:rPr>
              <w:t>nd</w:t>
            </w:r>
            <w:r w:rsidR="00297D54" w:rsidRPr="00AE0294">
              <w:rPr>
                <w:rFonts w:asciiTheme="minorHAnsi" w:hAnsiTheme="minorHAnsi" w:cstheme="minorHAnsi"/>
              </w:rPr>
              <w:t xml:space="preserve"> MYT Periods amounting to </w:t>
            </w:r>
            <w:r w:rsidR="00C6492A" w:rsidRPr="00AE0294">
              <w:rPr>
                <w:rFonts w:asciiTheme="minorHAnsi" w:hAnsiTheme="minorHAnsi" w:cstheme="minorHAnsi"/>
              </w:rPr>
              <w:t xml:space="preserve">₹ 140.7 Crores </w:t>
            </w:r>
            <w:r w:rsidR="00297D54" w:rsidRPr="00AE0294">
              <w:rPr>
                <w:rFonts w:asciiTheme="minorHAnsi" w:hAnsiTheme="minorHAnsi" w:cstheme="minorHAnsi"/>
              </w:rPr>
              <w:t>(</w:t>
            </w:r>
            <w:r w:rsidR="00C6492A" w:rsidRPr="00AE0294">
              <w:rPr>
                <w:rFonts w:asciiTheme="minorHAnsi" w:hAnsiTheme="minorHAnsi" w:cstheme="minorHAnsi"/>
              </w:rPr>
              <w:t>including carrying cost</w:t>
            </w:r>
            <w:r w:rsidR="00297D54" w:rsidRPr="00AE0294">
              <w:rPr>
                <w:rFonts w:asciiTheme="minorHAnsi" w:hAnsiTheme="minorHAnsi" w:cstheme="minorHAnsi"/>
              </w:rPr>
              <w:t>) which is the difference between the amount projected in the ARR and that at the time of True-up.</w:t>
            </w:r>
          </w:p>
          <w:p w:rsidR="00297D54" w:rsidRPr="00AE0294" w:rsidRDefault="00297D54" w:rsidP="00BC3A95">
            <w:pPr>
              <w:pStyle w:val="ListParagraph"/>
              <w:numPr>
                <w:ilvl w:val="0"/>
                <w:numId w:val="14"/>
              </w:numPr>
              <w:autoSpaceDE w:val="0"/>
              <w:autoSpaceDN w:val="0"/>
              <w:spacing w:line="360" w:lineRule="auto"/>
              <w:ind w:left="281"/>
              <w:rPr>
                <w:rFonts w:asciiTheme="minorHAnsi" w:hAnsiTheme="minorHAnsi" w:cstheme="minorHAnsi"/>
              </w:rPr>
            </w:pPr>
            <w:r w:rsidRPr="00AE0294">
              <w:rPr>
                <w:rFonts w:asciiTheme="minorHAnsi" w:hAnsiTheme="minorHAnsi" w:cstheme="minorHAnsi"/>
                <w:color w:val="000000"/>
              </w:rPr>
              <w:t xml:space="preserve">The detailed computation is enclosed as </w:t>
            </w:r>
            <w:r w:rsidRPr="00AE0294">
              <w:rPr>
                <w:rFonts w:asciiTheme="minorHAnsi" w:hAnsiTheme="minorHAnsi" w:cstheme="minorHAnsi"/>
                <w:b/>
                <w:color w:val="000000"/>
              </w:rPr>
              <w:t xml:space="preserve">Annexure – </w:t>
            </w:r>
            <w:r w:rsidR="004309FD" w:rsidRPr="00AE0294">
              <w:rPr>
                <w:rFonts w:asciiTheme="minorHAnsi" w:hAnsiTheme="minorHAnsi" w:cstheme="minorHAnsi"/>
                <w:b/>
                <w:color w:val="000000"/>
              </w:rPr>
              <w:t>3B(ii)</w:t>
            </w:r>
            <w:r w:rsidR="004309FD" w:rsidRPr="00AE0294">
              <w:rPr>
                <w:rFonts w:asciiTheme="minorHAnsi" w:hAnsiTheme="minorHAnsi" w:cstheme="minorHAnsi"/>
                <w:color w:val="000000"/>
              </w:rPr>
              <w:t>.</w:t>
            </w:r>
          </w:p>
        </w:tc>
      </w:tr>
      <w:tr w:rsidR="00657C48" w:rsidRPr="00AE0294" w:rsidTr="009249FD">
        <w:trPr>
          <w:trHeight w:val="970"/>
        </w:trPr>
        <w:tc>
          <w:tcPr>
            <w:tcW w:w="745" w:type="dxa"/>
            <w:tcBorders>
              <w:top w:val="single" w:sz="6" w:space="0" w:color="000000"/>
              <w:left w:val="single" w:sz="6" w:space="0" w:color="000000"/>
              <w:bottom w:val="single" w:sz="6" w:space="0" w:color="000000"/>
              <w:right w:val="single" w:sz="6" w:space="0" w:color="000000"/>
            </w:tcBorders>
          </w:tcPr>
          <w:p w:rsidR="00C6492A" w:rsidRPr="00AE0294" w:rsidRDefault="00C6492A" w:rsidP="00BC3A95">
            <w:pPr>
              <w:pStyle w:val="ListParagraph"/>
              <w:widowControl/>
              <w:numPr>
                <w:ilvl w:val="0"/>
                <w:numId w:val="9"/>
              </w:numPr>
              <w:autoSpaceDE w:val="0"/>
              <w:autoSpaceDN w:val="0"/>
              <w:spacing w:line="360" w:lineRule="auto"/>
              <w:textAlignment w:val="auto"/>
              <w:rPr>
                <w:rFonts w:asciiTheme="minorHAnsi" w:hAnsiTheme="minorHAnsi" w:cstheme="minorHAnsi"/>
                <w:color w:val="000000"/>
              </w:rPr>
            </w:pPr>
          </w:p>
        </w:tc>
        <w:tc>
          <w:tcPr>
            <w:tcW w:w="2340" w:type="dxa"/>
            <w:tcBorders>
              <w:top w:val="single" w:sz="6" w:space="0" w:color="000000"/>
              <w:left w:val="single" w:sz="6" w:space="0" w:color="000000"/>
              <w:bottom w:val="single" w:sz="6" w:space="0" w:color="000000"/>
              <w:right w:val="single" w:sz="6" w:space="0" w:color="000000"/>
            </w:tcBorders>
          </w:tcPr>
          <w:p w:rsidR="00C6492A" w:rsidRPr="00AE0294" w:rsidRDefault="00C6492A" w:rsidP="00C6492A">
            <w:pPr>
              <w:autoSpaceDE w:val="0"/>
              <w:autoSpaceDN w:val="0"/>
              <w:adjustRightInd w:val="0"/>
              <w:spacing w:after="0" w:line="360" w:lineRule="auto"/>
              <w:jc w:val="both"/>
              <w:rPr>
                <w:rFonts w:cstheme="minorHAnsi"/>
                <w:color w:val="000000"/>
                <w:sz w:val="24"/>
                <w:szCs w:val="24"/>
              </w:rPr>
            </w:pPr>
            <w:r w:rsidRPr="00AE0294">
              <w:rPr>
                <w:rFonts w:cstheme="minorHAnsi"/>
                <w:color w:val="000000"/>
                <w:sz w:val="24"/>
                <w:szCs w:val="24"/>
              </w:rPr>
              <w:t>DSM Expenses</w:t>
            </w:r>
          </w:p>
        </w:tc>
        <w:tc>
          <w:tcPr>
            <w:tcW w:w="4111" w:type="dxa"/>
            <w:tcBorders>
              <w:top w:val="single" w:sz="6" w:space="0" w:color="000000"/>
              <w:left w:val="single" w:sz="6" w:space="0" w:color="000000"/>
              <w:bottom w:val="single" w:sz="6" w:space="0" w:color="000000"/>
              <w:right w:val="single" w:sz="6" w:space="0" w:color="000000"/>
            </w:tcBorders>
          </w:tcPr>
          <w:p w:rsidR="00C6492A" w:rsidRPr="00AE0294" w:rsidRDefault="00297D54" w:rsidP="00BC3A95">
            <w:pPr>
              <w:pStyle w:val="ListParagraph"/>
              <w:numPr>
                <w:ilvl w:val="0"/>
                <w:numId w:val="14"/>
              </w:numPr>
              <w:autoSpaceDE w:val="0"/>
              <w:autoSpaceDN w:val="0"/>
              <w:spacing w:line="360" w:lineRule="auto"/>
              <w:ind w:left="281"/>
              <w:rPr>
                <w:rFonts w:asciiTheme="minorHAnsi" w:hAnsiTheme="minorHAnsi" w:cstheme="minorHAnsi"/>
                <w:bCs/>
                <w:color w:val="000000"/>
              </w:rPr>
            </w:pPr>
            <w:r w:rsidRPr="00AE0294">
              <w:rPr>
                <w:rFonts w:asciiTheme="minorHAnsi" w:hAnsiTheme="minorHAnsi" w:cstheme="minorHAnsi"/>
                <w:bCs/>
                <w:color w:val="000000"/>
              </w:rPr>
              <w:t xml:space="preserve">Hon'ble Commission at Para </w:t>
            </w:r>
            <w:r w:rsidR="003C7E12" w:rsidRPr="00AE0294">
              <w:rPr>
                <w:rFonts w:asciiTheme="minorHAnsi" w:hAnsiTheme="minorHAnsi" w:cstheme="minorHAnsi"/>
                <w:bCs/>
                <w:color w:val="000000"/>
              </w:rPr>
              <w:t>3(</w:t>
            </w:r>
            <w:r w:rsidRPr="00AE0294">
              <w:rPr>
                <w:rFonts w:asciiTheme="minorHAnsi" w:hAnsiTheme="minorHAnsi" w:cstheme="minorHAnsi"/>
                <w:bCs/>
                <w:color w:val="000000"/>
              </w:rPr>
              <w:t>vi</w:t>
            </w:r>
            <w:r w:rsidR="003C7E12" w:rsidRPr="00AE0294">
              <w:rPr>
                <w:rFonts w:asciiTheme="minorHAnsi" w:hAnsiTheme="minorHAnsi" w:cstheme="minorHAnsi"/>
                <w:bCs/>
                <w:color w:val="000000"/>
              </w:rPr>
              <w:t>)</w:t>
            </w:r>
            <w:r w:rsidR="00C6492A" w:rsidRPr="00AE0294">
              <w:rPr>
                <w:rFonts w:asciiTheme="minorHAnsi" w:hAnsiTheme="minorHAnsi" w:cstheme="minorHAnsi"/>
                <w:bCs/>
                <w:color w:val="000000"/>
              </w:rPr>
              <w:t xml:space="preserve"> </w:t>
            </w:r>
            <w:r w:rsidRPr="00AE0294">
              <w:rPr>
                <w:rFonts w:asciiTheme="minorHAnsi" w:hAnsiTheme="minorHAnsi" w:cstheme="minorHAnsi"/>
                <w:bCs/>
                <w:color w:val="000000"/>
              </w:rPr>
              <w:t>in the</w:t>
            </w:r>
            <w:r w:rsidR="00C6492A" w:rsidRPr="00AE0294">
              <w:rPr>
                <w:rFonts w:asciiTheme="minorHAnsi" w:hAnsiTheme="minorHAnsi" w:cstheme="minorHAnsi"/>
                <w:bCs/>
                <w:color w:val="000000"/>
              </w:rPr>
              <w:t xml:space="preserve"> Order dated 18.05.2018 in Petition No.</w:t>
            </w:r>
            <w:r w:rsidRPr="00AE0294">
              <w:rPr>
                <w:rFonts w:asciiTheme="minorHAnsi" w:hAnsiTheme="minorHAnsi" w:cstheme="minorHAnsi"/>
                <w:bCs/>
                <w:color w:val="000000"/>
              </w:rPr>
              <w:t xml:space="preserve"> </w:t>
            </w:r>
            <w:r w:rsidR="00C6492A" w:rsidRPr="00AE0294">
              <w:rPr>
                <w:rFonts w:asciiTheme="minorHAnsi" w:hAnsiTheme="minorHAnsi" w:cstheme="minorHAnsi"/>
                <w:bCs/>
                <w:color w:val="000000"/>
              </w:rPr>
              <w:t xml:space="preserve">23/2018 has specified </w:t>
            </w:r>
            <w:r w:rsidR="003C7E12" w:rsidRPr="00AE0294">
              <w:rPr>
                <w:rFonts w:asciiTheme="minorHAnsi" w:hAnsiTheme="minorHAnsi" w:cstheme="minorHAnsi"/>
                <w:bCs/>
                <w:color w:val="000000"/>
              </w:rPr>
              <w:t xml:space="preserve">that </w:t>
            </w:r>
            <w:r w:rsidR="003C7E12" w:rsidRPr="00AE0294">
              <w:rPr>
                <w:rFonts w:asciiTheme="minorHAnsi" w:hAnsiTheme="minorHAnsi" w:cstheme="minorHAnsi"/>
                <w:b/>
                <w:bCs/>
                <w:color w:val="000000"/>
                <w:u w:val="single"/>
              </w:rPr>
              <w:t>all expenses pertaining to DSM initiative shall be allowed additionally in the ARR of the Petitioner under the head of DSM expenses</w:t>
            </w:r>
            <w:r w:rsidR="003C7E12" w:rsidRPr="00AE0294">
              <w:rPr>
                <w:rFonts w:asciiTheme="minorHAnsi" w:hAnsiTheme="minorHAnsi" w:cstheme="minorHAnsi"/>
                <w:bCs/>
                <w:color w:val="000000"/>
              </w:rPr>
              <w:t>, r</w:t>
            </w:r>
            <w:r w:rsidR="00C6492A" w:rsidRPr="00AE0294">
              <w:rPr>
                <w:rFonts w:asciiTheme="minorHAnsi" w:hAnsiTheme="minorHAnsi" w:cstheme="minorHAnsi"/>
                <w:bCs/>
                <w:color w:val="000000"/>
              </w:rPr>
              <w:t xml:space="preserve">elevant extract is reproduced </w:t>
            </w:r>
            <w:r w:rsidR="003C7E12" w:rsidRPr="00AE0294">
              <w:rPr>
                <w:rFonts w:asciiTheme="minorHAnsi" w:hAnsiTheme="minorHAnsi" w:cstheme="minorHAnsi"/>
                <w:bCs/>
                <w:color w:val="000000"/>
              </w:rPr>
              <w:t xml:space="preserve">here </w:t>
            </w:r>
            <w:r w:rsidR="00C6492A" w:rsidRPr="00AE0294">
              <w:rPr>
                <w:rFonts w:asciiTheme="minorHAnsi" w:hAnsiTheme="minorHAnsi" w:cstheme="minorHAnsi"/>
                <w:bCs/>
                <w:color w:val="000000"/>
              </w:rPr>
              <w:t xml:space="preserve">as </w:t>
            </w:r>
            <w:r w:rsidR="003C7E12" w:rsidRPr="00AE0294">
              <w:rPr>
                <w:rFonts w:asciiTheme="minorHAnsi" w:hAnsiTheme="minorHAnsi" w:cstheme="minorHAnsi"/>
                <w:bCs/>
                <w:color w:val="000000"/>
              </w:rPr>
              <w:t>follows</w:t>
            </w:r>
            <w:r w:rsidR="00C6492A" w:rsidRPr="00AE0294">
              <w:rPr>
                <w:rFonts w:asciiTheme="minorHAnsi" w:hAnsiTheme="minorHAnsi" w:cstheme="minorHAnsi"/>
                <w:bCs/>
                <w:color w:val="000000"/>
              </w:rPr>
              <w:t>:</w:t>
            </w:r>
          </w:p>
          <w:p w:rsidR="00C6492A" w:rsidRPr="00AE0294" w:rsidRDefault="00C6492A" w:rsidP="003C7E12">
            <w:pPr>
              <w:tabs>
                <w:tab w:val="left" w:pos="1833"/>
              </w:tabs>
              <w:autoSpaceDE w:val="0"/>
              <w:autoSpaceDN w:val="0"/>
              <w:adjustRightInd w:val="0"/>
              <w:spacing w:after="0" w:line="360" w:lineRule="auto"/>
              <w:ind w:left="113"/>
              <w:jc w:val="both"/>
              <w:rPr>
                <w:rFonts w:cstheme="minorHAnsi"/>
                <w:bCs/>
                <w:i/>
                <w:iCs/>
                <w:color w:val="000000"/>
                <w:sz w:val="24"/>
                <w:szCs w:val="24"/>
              </w:rPr>
            </w:pPr>
            <w:r w:rsidRPr="00AE0294">
              <w:rPr>
                <w:rFonts w:cstheme="minorHAnsi"/>
                <w:bCs/>
                <w:i/>
                <w:iCs/>
                <w:color w:val="000000"/>
                <w:sz w:val="24"/>
                <w:szCs w:val="24"/>
              </w:rPr>
              <w:t>"</w:t>
            </w:r>
            <w:r w:rsidRPr="00AE0294">
              <w:rPr>
                <w:rFonts w:cstheme="minorHAnsi"/>
                <w:b/>
                <w:bCs/>
                <w:i/>
                <w:iCs/>
                <w:color w:val="000000"/>
                <w:sz w:val="24"/>
                <w:szCs w:val="24"/>
              </w:rPr>
              <w:t>vi.</w:t>
            </w:r>
            <w:r w:rsidR="003C7E12" w:rsidRPr="00AE0294">
              <w:rPr>
                <w:rFonts w:cstheme="minorHAnsi"/>
                <w:b/>
                <w:bCs/>
                <w:i/>
                <w:iCs/>
                <w:color w:val="000000"/>
                <w:sz w:val="24"/>
                <w:szCs w:val="24"/>
              </w:rPr>
              <w:t xml:space="preserve"> </w:t>
            </w:r>
            <w:r w:rsidRPr="00AE0294">
              <w:rPr>
                <w:rFonts w:cstheme="minorHAnsi"/>
                <w:b/>
                <w:bCs/>
                <w:i/>
                <w:iCs/>
                <w:color w:val="000000"/>
                <w:sz w:val="24"/>
                <w:szCs w:val="24"/>
              </w:rPr>
              <w:t xml:space="preserve"> Expenses in ARR:</w:t>
            </w:r>
          </w:p>
          <w:p w:rsidR="00C6492A" w:rsidRPr="00AE0294" w:rsidRDefault="00C6492A" w:rsidP="003C7E12">
            <w:pPr>
              <w:tabs>
                <w:tab w:val="left" w:pos="1833"/>
              </w:tabs>
              <w:autoSpaceDE w:val="0"/>
              <w:autoSpaceDN w:val="0"/>
              <w:adjustRightInd w:val="0"/>
              <w:spacing w:after="0" w:line="360" w:lineRule="auto"/>
              <w:ind w:left="541"/>
              <w:jc w:val="both"/>
              <w:rPr>
                <w:rFonts w:cstheme="minorHAnsi"/>
                <w:bCs/>
                <w:i/>
                <w:iCs/>
                <w:color w:val="000000"/>
                <w:sz w:val="24"/>
                <w:szCs w:val="24"/>
              </w:rPr>
            </w:pPr>
            <w:r w:rsidRPr="00AE0294">
              <w:rPr>
                <w:rFonts w:cstheme="minorHAnsi"/>
                <w:bCs/>
                <w:i/>
                <w:iCs/>
                <w:color w:val="000000"/>
                <w:sz w:val="24"/>
                <w:szCs w:val="24"/>
              </w:rPr>
              <w:lastRenderedPageBreak/>
              <w:t>The expenses on account of floating tender, hiring of implementation agency, administrative costsand the rebate cost along with interest thereon are allowed additionally in the Annual Revenue</w:t>
            </w:r>
            <w:r w:rsidR="00585826">
              <w:rPr>
                <w:rFonts w:cstheme="minorHAnsi"/>
                <w:bCs/>
                <w:i/>
                <w:iCs/>
                <w:color w:val="000000"/>
                <w:sz w:val="24"/>
                <w:szCs w:val="24"/>
              </w:rPr>
              <w:t xml:space="preserve"> </w:t>
            </w:r>
            <w:r w:rsidRPr="00AE0294">
              <w:rPr>
                <w:rFonts w:cstheme="minorHAnsi"/>
                <w:bCs/>
                <w:i/>
                <w:iCs/>
                <w:color w:val="000000"/>
                <w:sz w:val="24"/>
                <w:szCs w:val="24"/>
              </w:rPr>
              <w:t>Requirement (ARR) of the petitioner to be recovered under the head of Demand Side Management(DSM) budget or any other head"</w:t>
            </w:r>
          </w:p>
          <w:p w:rsidR="00C6492A" w:rsidRPr="00AE0294" w:rsidRDefault="00C6492A" w:rsidP="00C6492A">
            <w:pPr>
              <w:tabs>
                <w:tab w:val="left" w:pos="1833"/>
              </w:tabs>
              <w:autoSpaceDE w:val="0"/>
              <w:autoSpaceDN w:val="0"/>
              <w:adjustRightInd w:val="0"/>
              <w:spacing w:after="0" w:line="360" w:lineRule="auto"/>
              <w:jc w:val="both"/>
              <w:rPr>
                <w:rFonts w:cstheme="minorHAnsi"/>
                <w:bCs/>
                <w:color w:val="000000"/>
                <w:sz w:val="24"/>
                <w:szCs w:val="24"/>
              </w:rPr>
            </w:pPr>
          </w:p>
          <w:p w:rsidR="00C6492A" w:rsidRPr="00AE0294" w:rsidRDefault="00C6492A" w:rsidP="00C6492A">
            <w:pPr>
              <w:tabs>
                <w:tab w:val="left" w:pos="1833"/>
              </w:tabs>
              <w:autoSpaceDE w:val="0"/>
              <w:autoSpaceDN w:val="0"/>
              <w:adjustRightInd w:val="0"/>
              <w:spacing w:after="0" w:line="360" w:lineRule="auto"/>
              <w:jc w:val="both"/>
              <w:rPr>
                <w:rFonts w:cstheme="minorHAnsi"/>
                <w:bCs/>
                <w:color w:val="000000"/>
                <w:sz w:val="24"/>
                <w:szCs w:val="24"/>
              </w:rPr>
            </w:pPr>
          </w:p>
        </w:tc>
        <w:tc>
          <w:tcPr>
            <w:tcW w:w="3969" w:type="dxa"/>
            <w:tcBorders>
              <w:top w:val="single" w:sz="6" w:space="0" w:color="000000"/>
              <w:left w:val="single" w:sz="6" w:space="0" w:color="000000"/>
              <w:bottom w:val="single" w:sz="6" w:space="0" w:color="000000"/>
              <w:right w:val="single" w:sz="6" w:space="0" w:color="000000"/>
            </w:tcBorders>
          </w:tcPr>
          <w:p w:rsidR="00C6492A" w:rsidRPr="00AE0294" w:rsidRDefault="00C6492A" w:rsidP="00BC3A95">
            <w:pPr>
              <w:pStyle w:val="ListParagraph"/>
              <w:numPr>
                <w:ilvl w:val="0"/>
                <w:numId w:val="14"/>
              </w:numPr>
              <w:autoSpaceDE w:val="0"/>
              <w:autoSpaceDN w:val="0"/>
              <w:spacing w:line="360" w:lineRule="auto"/>
              <w:ind w:left="281"/>
              <w:rPr>
                <w:rFonts w:asciiTheme="minorHAnsi" w:hAnsiTheme="minorHAnsi" w:cstheme="minorHAnsi"/>
              </w:rPr>
            </w:pPr>
            <w:r w:rsidRPr="00AE0294">
              <w:rPr>
                <w:rFonts w:asciiTheme="minorHAnsi" w:hAnsiTheme="minorHAnsi" w:cstheme="minorHAnsi"/>
                <w:bCs/>
                <w:color w:val="000000"/>
              </w:rPr>
              <w:lastRenderedPageBreak/>
              <w:t>Hon’ble</w:t>
            </w:r>
            <w:r w:rsidRPr="00AE0294">
              <w:rPr>
                <w:rFonts w:asciiTheme="minorHAnsi" w:hAnsiTheme="minorHAnsi" w:cstheme="minorHAnsi"/>
              </w:rPr>
              <w:t xml:space="preserve"> Commission</w:t>
            </w:r>
            <w:r w:rsidR="00354F33" w:rsidRPr="00AE0294">
              <w:rPr>
                <w:rFonts w:asciiTheme="minorHAnsi" w:hAnsiTheme="minorHAnsi" w:cstheme="minorHAnsi"/>
              </w:rPr>
              <w:t xml:space="preserve"> at Para</w:t>
            </w:r>
            <w:r w:rsidR="003C7E12" w:rsidRPr="00AE0294">
              <w:rPr>
                <w:rFonts w:asciiTheme="minorHAnsi" w:hAnsiTheme="minorHAnsi" w:cstheme="minorHAnsi"/>
              </w:rPr>
              <w:t xml:space="preserve"> 3.387 and 3.236 </w:t>
            </w:r>
            <w:r w:rsidRPr="00AE0294">
              <w:rPr>
                <w:rFonts w:asciiTheme="minorHAnsi" w:hAnsiTheme="minorHAnsi" w:cstheme="minorHAnsi"/>
              </w:rPr>
              <w:t xml:space="preserve"> in Tariff Order dated 31.07.2019 and 28.08.2020</w:t>
            </w:r>
            <w:r w:rsidR="003C7E12" w:rsidRPr="00AE0294">
              <w:rPr>
                <w:rFonts w:asciiTheme="minorHAnsi" w:hAnsiTheme="minorHAnsi" w:cstheme="minorHAnsi"/>
              </w:rPr>
              <w:t xml:space="preserve"> respectively, at the time of truing-up </w:t>
            </w:r>
            <w:r w:rsidR="003C7E12" w:rsidRPr="00AE0294">
              <w:rPr>
                <w:rFonts w:asciiTheme="minorHAnsi" w:hAnsiTheme="minorHAnsi" w:cstheme="minorHAnsi"/>
                <w:b/>
                <w:u w:val="single"/>
              </w:rPr>
              <w:t xml:space="preserve">has </w:t>
            </w:r>
            <w:r w:rsidRPr="00AE0294">
              <w:rPr>
                <w:rFonts w:asciiTheme="minorHAnsi" w:hAnsiTheme="minorHAnsi" w:cstheme="minorHAnsi"/>
                <w:b/>
                <w:u w:val="single"/>
              </w:rPr>
              <w:t xml:space="preserve"> </w:t>
            </w:r>
            <w:r w:rsidR="003C7E12" w:rsidRPr="00AE0294">
              <w:rPr>
                <w:rFonts w:asciiTheme="minorHAnsi" w:hAnsiTheme="minorHAnsi" w:cstheme="minorHAnsi"/>
                <w:b/>
                <w:u w:val="single"/>
              </w:rPr>
              <w:t>dis</w:t>
            </w:r>
            <w:r w:rsidRPr="00AE0294">
              <w:rPr>
                <w:rFonts w:asciiTheme="minorHAnsi" w:hAnsiTheme="minorHAnsi" w:cstheme="minorHAnsi"/>
                <w:b/>
                <w:u w:val="single"/>
              </w:rPr>
              <w:t>allow</w:t>
            </w:r>
            <w:r w:rsidR="003C7E12" w:rsidRPr="00AE0294">
              <w:rPr>
                <w:rFonts w:asciiTheme="minorHAnsi" w:hAnsiTheme="minorHAnsi" w:cstheme="minorHAnsi"/>
                <w:b/>
                <w:u w:val="single"/>
              </w:rPr>
              <w:t>ed</w:t>
            </w:r>
            <w:r w:rsidRPr="00AE0294">
              <w:rPr>
                <w:rFonts w:asciiTheme="minorHAnsi" w:hAnsiTheme="minorHAnsi" w:cstheme="minorHAnsi"/>
                <w:b/>
                <w:u w:val="single"/>
              </w:rPr>
              <w:t xml:space="preserve"> the </w:t>
            </w:r>
            <w:r w:rsidR="003C7E12" w:rsidRPr="00AE0294">
              <w:rPr>
                <w:rFonts w:asciiTheme="minorHAnsi" w:hAnsiTheme="minorHAnsi" w:cstheme="minorHAnsi"/>
                <w:b/>
                <w:u w:val="single"/>
              </w:rPr>
              <w:t>cost incurred by the Petitioner towards</w:t>
            </w:r>
            <w:r w:rsidRPr="00AE0294">
              <w:rPr>
                <w:rFonts w:asciiTheme="minorHAnsi" w:hAnsiTheme="minorHAnsi" w:cstheme="minorHAnsi"/>
                <w:b/>
                <w:u w:val="single"/>
              </w:rPr>
              <w:t xml:space="preserve"> DSM </w:t>
            </w:r>
            <w:r w:rsidR="003C7E12" w:rsidRPr="00AE0294">
              <w:rPr>
                <w:rFonts w:asciiTheme="minorHAnsi" w:hAnsiTheme="minorHAnsi" w:cstheme="minorHAnsi"/>
                <w:b/>
                <w:u w:val="single"/>
              </w:rPr>
              <w:t>expenses</w:t>
            </w:r>
            <w:r w:rsidR="00354F33" w:rsidRPr="00AE0294">
              <w:rPr>
                <w:rFonts w:asciiTheme="minorHAnsi" w:hAnsiTheme="minorHAnsi" w:cstheme="minorHAnsi"/>
              </w:rPr>
              <w:t>.</w:t>
            </w:r>
          </w:p>
          <w:p w:rsidR="00C6492A" w:rsidRPr="00AE0294" w:rsidRDefault="00C6492A" w:rsidP="00354F33">
            <w:pPr>
              <w:pStyle w:val="ListParagraph"/>
              <w:autoSpaceDE w:val="0"/>
              <w:autoSpaceDN w:val="0"/>
              <w:spacing w:line="360" w:lineRule="auto"/>
              <w:ind w:left="281"/>
              <w:rPr>
                <w:rFonts w:asciiTheme="minorHAnsi" w:hAnsiTheme="minorHAnsi" w:cstheme="minorHAnsi"/>
              </w:rPr>
            </w:pPr>
          </w:p>
        </w:tc>
        <w:tc>
          <w:tcPr>
            <w:tcW w:w="3537" w:type="dxa"/>
            <w:tcBorders>
              <w:top w:val="single" w:sz="6" w:space="0" w:color="000000"/>
              <w:left w:val="single" w:sz="6" w:space="0" w:color="000000"/>
              <w:bottom w:val="single" w:sz="6" w:space="0" w:color="000000"/>
              <w:right w:val="single" w:sz="6" w:space="0" w:color="000000"/>
            </w:tcBorders>
          </w:tcPr>
          <w:p w:rsidR="00C6492A" w:rsidRPr="00AE0294" w:rsidRDefault="00C6492A" w:rsidP="00BC3A95">
            <w:pPr>
              <w:pStyle w:val="ListParagraph"/>
              <w:numPr>
                <w:ilvl w:val="0"/>
                <w:numId w:val="14"/>
              </w:numPr>
              <w:autoSpaceDE w:val="0"/>
              <w:autoSpaceDN w:val="0"/>
              <w:spacing w:line="360" w:lineRule="auto"/>
              <w:ind w:left="281"/>
              <w:rPr>
                <w:rFonts w:asciiTheme="minorHAnsi" w:hAnsiTheme="minorHAnsi" w:cstheme="minorHAnsi"/>
              </w:rPr>
            </w:pPr>
            <w:r w:rsidRPr="00AE0294">
              <w:rPr>
                <w:rFonts w:asciiTheme="minorHAnsi" w:hAnsiTheme="minorHAnsi" w:cstheme="minorHAnsi"/>
              </w:rPr>
              <w:t xml:space="preserve">Hon’ble Commission </w:t>
            </w:r>
            <w:r w:rsidR="00354F33" w:rsidRPr="00AE0294">
              <w:rPr>
                <w:rFonts w:asciiTheme="minorHAnsi" w:hAnsiTheme="minorHAnsi" w:cstheme="minorHAnsi"/>
              </w:rPr>
              <w:t xml:space="preserve">is requested to allow </w:t>
            </w:r>
            <w:r w:rsidR="003C7E12" w:rsidRPr="00AE0294">
              <w:rPr>
                <w:rFonts w:asciiTheme="minorHAnsi" w:hAnsiTheme="minorHAnsi" w:cstheme="minorHAnsi"/>
              </w:rPr>
              <w:t>the cost incurred by th Petitioner towards DSM expenses</w:t>
            </w:r>
            <w:r w:rsidR="00C05753" w:rsidRPr="00AE0294">
              <w:rPr>
                <w:rFonts w:asciiTheme="minorHAnsi" w:hAnsiTheme="minorHAnsi" w:cstheme="minorHAnsi"/>
              </w:rPr>
              <w:t xml:space="preserve"> amounting to ₹ 2.1 Crores (including carrying cost)</w:t>
            </w:r>
            <w:r w:rsidR="003C7E12" w:rsidRPr="00AE0294">
              <w:rPr>
                <w:rFonts w:asciiTheme="minorHAnsi" w:hAnsiTheme="minorHAnsi" w:cstheme="minorHAnsi"/>
              </w:rPr>
              <w:t>.</w:t>
            </w:r>
          </w:p>
          <w:p w:rsidR="003C7E12" w:rsidRPr="00AE0294" w:rsidRDefault="003C7E12" w:rsidP="0034621A">
            <w:pPr>
              <w:pStyle w:val="ListParagraph"/>
              <w:numPr>
                <w:ilvl w:val="0"/>
                <w:numId w:val="14"/>
              </w:numPr>
              <w:autoSpaceDE w:val="0"/>
              <w:autoSpaceDN w:val="0"/>
              <w:spacing w:line="360" w:lineRule="auto"/>
              <w:ind w:left="281"/>
              <w:rPr>
                <w:rFonts w:asciiTheme="minorHAnsi" w:hAnsiTheme="minorHAnsi" w:cstheme="minorHAnsi"/>
              </w:rPr>
            </w:pPr>
            <w:r w:rsidRPr="00AE0294">
              <w:rPr>
                <w:rFonts w:asciiTheme="minorHAnsi" w:hAnsiTheme="minorHAnsi" w:cstheme="minorHAnsi"/>
                <w:color w:val="000000"/>
              </w:rPr>
              <w:t xml:space="preserve">The detailed computation is enclosed as </w:t>
            </w:r>
            <w:r w:rsidRPr="00AE0294">
              <w:rPr>
                <w:rFonts w:asciiTheme="minorHAnsi" w:hAnsiTheme="minorHAnsi" w:cstheme="minorHAnsi"/>
                <w:b/>
                <w:color w:val="000000"/>
              </w:rPr>
              <w:t xml:space="preserve">Annexure </w:t>
            </w:r>
            <w:r w:rsidR="0034621A" w:rsidRPr="00AE0294">
              <w:rPr>
                <w:rFonts w:asciiTheme="minorHAnsi" w:hAnsiTheme="minorHAnsi" w:cstheme="minorHAnsi"/>
                <w:b/>
                <w:color w:val="000000"/>
              </w:rPr>
              <w:t>–  3B(ii)</w:t>
            </w:r>
            <w:r w:rsidR="0034621A" w:rsidRPr="00AE0294">
              <w:rPr>
                <w:rFonts w:asciiTheme="minorHAnsi" w:hAnsiTheme="minorHAnsi" w:cstheme="minorHAnsi"/>
                <w:color w:val="000000"/>
              </w:rPr>
              <w:t>.</w:t>
            </w:r>
          </w:p>
        </w:tc>
      </w:tr>
      <w:tr w:rsidR="00657C48" w:rsidRPr="00AE0294" w:rsidTr="009249FD">
        <w:trPr>
          <w:trHeight w:val="970"/>
        </w:trPr>
        <w:tc>
          <w:tcPr>
            <w:tcW w:w="745" w:type="dxa"/>
            <w:tcBorders>
              <w:top w:val="single" w:sz="6" w:space="0" w:color="000000"/>
              <w:left w:val="single" w:sz="6" w:space="0" w:color="000000"/>
              <w:bottom w:val="single" w:sz="6" w:space="0" w:color="000000"/>
              <w:right w:val="single" w:sz="6" w:space="0" w:color="000000"/>
            </w:tcBorders>
          </w:tcPr>
          <w:p w:rsidR="00C6492A" w:rsidRPr="00AE0294" w:rsidRDefault="00C6492A" w:rsidP="00BC3A95">
            <w:pPr>
              <w:pStyle w:val="ListParagraph"/>
              <w:widowControl/>
              <w:numPr>
                <w:ilvl w:val="0"/>
                <w:numId w:val="9"/>
              </w:numPr>
              <w:autoSpaceDE w:val="0"/>
              <w:autoSpaceDN w:val="0"/>
              <w:spacing w:line="360" w:lineRule="auto"/>
              <w:textAlignment w:val="auto"/>
              <w:rPr>
                <w:rFonts w:asciiTheme="minorHAnsi" w:hAnsiTheme="minorHAnsi" w:cstheme="minorHAnsi"/>
                <w:color w:val="000000"/>
              </w:rPr>
            </w:pPr>
          </w:p>
        </w:tc>
        <w:tc>
          <w:tcPr>
            <w:tcW w:w="2340" w:type="dxa"/>
            <w:tcBorders>
              <w:top w:val="single" w:sz="6" w:space="0" w:color="000000"/>
              <w:left w:val="single" w:sz="6" w:space="0" w:color="000000"/>
              <w:bottom w:val="single" w:sz="6" w:space="0" w:color="000000"/>
              <w:right w:val="single" w:sz="6" w:space="0" w:color="000000"/>
            </w:tcBorders>
          </w:tcPr>
          <w:p w:rsidR="00C6492A" w:rsidRPr="00AE0294" w:rsidRDefault="00C6492A" w:rsidP="00C6492A">
            <w:pPr>
              <w:autoSpaceDE w:val="0"/>
              <w:autoSpaceDN w:val="0"/>
              <w:adjustRightInd w:val="0"/>
              <w:spacing w:after="0" w:line="360" w:lineRule="auto"/>
              <w:jc w:val="both"/>
              <w:rPr>
                <w:rFonts w:cstheme="minorHAnsi"/>
                <w:color w:val="000000"/>
                <w:sz w:val="24"/>
                <w:szCs w:val="24"/>
              </w:rPr>
            </w:pPr>
            <w:r w:rsidRPr="00AE0294">
              <w:rPr>
                <w:rFonts w:cstheme="minorHAnsi"/>
                <w:color w:val="000000"/>
                <w:sz w:val="24"/>
                <w:szCs w:val="24"/>
              </w:rPr>
              <w:t>Advance from Consumers</w:t>
            </w:r>
            <w:r w:rsidR="00C263CF" w:rsidRPr="00AE0294">
              <w:rPr>
                <w:rFonts w:cstheme="minorHAnsi"/>
                <w:color w:val="000000"/>
                <w:sz w:val="24"/>
                <w:szCs w:val="24"/>
              </w:rPr>
              <w:t xml:space="preserve"> for FY 2017-18 to FY 2019-20</w:t>
            </w:r>
          </w:p>
        </w:tc>
        <w:tc>
          <w:tcPr>
            <w:tcW w:w="4111" w:type="dxa"/>
            <w:tcBorders>
              <w:top w:val="single" w:sz="6" w:space="0" w:color="000000"/>
              <w:left w:val="single" w:sz="6" w:space="0" w:color="000000"/>
              <w:bottom w:val="single" w:sz="6" w:space="0" w:color="000000"/>
              <w:right w:val="single" w:sz="6" w:space="0" w:color="000000"/>
            </w:tcBorders>
          </w:tcPr>
          <w:p w:rsidR="003C7E12" w:rsidRPr="00AE0294" w:rsidRDefault="003C7E12" w:rsidP="003C7E12">
            <w:pPr>
              <w:tabs>
                <w:tab w:val="left" w:pos="1833"/>
              </w:tabs>
              <w:autoSpaceDE w:val="0"/>
              <w:autoSpaceDN w:val="0"/>
              <w:spacing w:after="0" w:line="360" w:lineRule="auto"/>
              <w:rPr>
                <w:rFonts w:cstheme="minorHAnsi"/>
                <w:b/>
                <w:bCs/>
                <w:color w:val="000000"/>
                <w:sz w:val="24"/>
                <w:szCs w:val="24"/>
                <w:u w:val="single"/>
              </w:rPr>
            </w:pPr>
            <w:r w:rsidRPr="00AE0294">
              <w:rPr>
                <w:rFonts w:cstheme="minorHAnsi"/>
                <w:b/>
                <w:bCs/>
                <w:color w:val="000000"/>
                <w:sz w:val="24"/>
                <w:szCs w:val="24"/>
                <w:u w:val="single"/>
              </w:rPr>
              <w:t>For FY 2017-18</w:t>
            </w:r>
          </w:p>
          <w:p w:rsidR="003C7E12" w:rsidRPr="00AE0294" w:rsidRDefault="003C7E12" w:rsidP="00BC3A95">
            <w:pPr>
              <w:pStyle w:val="ListParagraph"/>
              <w:numPr>
                <w:ilvl w:val="0"/>
                <w:numId w:val="15"/>
              </w:numPr>
              <w:tabs>
                <w:tab w:val="left" w:pos="1833"/>
              </w:tabs>
              <w:autoSpaceDE w:val="0"/>
              <w:autoSpaceDN w:val="0"/>
              <w:spacing w:line="360" w:lineRule="auto"/>
              <w:ind w:left="438"/>
              <w:rPr>
                <w:rFonts w:asciiTheme="minorHAnsi" w:hAnsiTheme="minorHAnsi" w:cstheme="minorHAnsi"/>
                <w:bCs/>
                <w:color w:val="000000"/>
              </w:rPr>
            </w:pPr>
            <w:r w:rsidRPr="00AE0294">
              <w:rPr>
                <w:rFonts w:asciiTheme="minorHAnsi" w:hAnsiTheme="minorHAnsi" w:cstheme="minorHAnsi"/>
                <w:bCs/>
                <w:color w:val="000000"/>
              </w:rPr>
              <w:t xml:space="preserve">Hon’ble Commission at Para </w:t>
            </w:r>
            <w:r w:rsidR="00647A95" w:rsidRPr="00AE0294">
              <w:rPr>
                <w:rFonts w:asciiTheme="minorHAnsi" w:hAnsiTheme="minorHAnsi" w:cstheme="minorHAnsi"/>
                <w:bCs/>
                <w:color w:val="000000"/>
              </w:rPr>
              <w:t>4.113</w:t>
            </w:r>
            <w:r w:rsidRPr="00AE0294">
              <w:rPr>
                <w:rFonts w:asciiTheme="minorHAnsi" w:hAnsiTheme="minorHAnsi" w:cstheme="minorHAnsi"/>
                <w:bCs/>
                <w:color w:val="000000"/>
              </w:rPr>
              <w:t xml:space="preserve"> in the Tariff Order dated 31.08.2017 </w:t>
            </w:r>
            <w:r w:rsidR="00647A95" w:rsidRPr="00AE0294">
              <w:rPr>
                <w:rFonts w:asciiTheme="minorHAnsi" w:hAnsiTheme="minorHAnsi" w:cstheme="minorHAnsi"/>
                <w:bCs/>
                <w:color w:val="000000"/>
              </w:rPr>
              <w:t xml:space="preserve">has </w:t>
            </w:r>
            <w:r w:rsidR="00647A95" w:rsidRPr="00AE0294">
              <w:rPr>
                <w:rFonts w:asciiTheme="minorHAnsi" w:hAnsiTheme="minorHAnsi" w:cstheme="minorHAnsi"/>
                <w:b/>
                <w:bCs/>
                <w:color w:val="000000"/>
                <w:u w:val="single"/>
              </w:rPr>
              <w:t xml:space="preserve">projected </w:t>
            </w:r>
            <w:r w:rsidRPr="00AE0294">
              <w:rPr>
                <w:rFonts w:asciiTheme="minorHAnsi" w:hAnsiTheme="minorHAnsi" w:cstheme="minorHAnsi"/>
                <w:b/>
                <w:bCs/>
                <w:color w:val="000000"/>
                <w:u w:val="single"/>
              </w:rPr>
              <w:t xml:space="preserve">Non-Tariff Income and Revenue </w:t>
            </w:r>
            <w:r w:rsidRPr="00AE0294">
              <w:rPr>
                <w:rFonts w:asciiTheme="minorHAnsi" w:hAnsiTheme="minorHAnsi" w:cstheme="minorHAnsi"/>
                <w:b/>
                <w:bCs/>
                <w:color w:val="000000"/>
                <w:u w:val="single"/>
              </w:rPr>
              <w:lastRenderedPageBreak/>
              <w:t>without considering any treatment of interest on advance from consumers</w:t>
            </w:r>
            <w:r w:rsidR="00647A95" w:rsidRPr="00AE0294">
              <w:rPr>
                <w:rFonts w:asciiTheme="minorHAnsi" w:hAnsiTheme="minorHAnsi" w:cstheme="minorHAnsi"/>
                <w:b/>
                <w:bCs/>
                <w:color w:val="000000"/>
                <w:u w:val="single"/>
              </w:rPr>
              <w:t xml:space="preserve"> </w:t>
            </w:r>
            <w:r w:rsidRPr="00AE0294">
              <w:rPr>
                <w:rFonts w:asciiTheme="minorHAnsi" w:hAnsiTheme="minorHAnsi" w:cstheme="minorHAnsi"/>
                <w:b/>
                <w:bCs/>
                <w:color w:val="000000"/>
                <w:u w:val="single"/>
              </w:rPr>
              <w:t>for FY 2017-18.</w:t>
            </w:r>
          </w:p>
          <w:p w:rsidR="00C05753" w:rsidRPr="00AE0294" w:rsidRDefault="00647A95" w:rsidP="00BC3A95">
            <w:pPr>
              <w:pStyle w:val="ListParagraph"/>
              <w:numPr>
                <w:ilvl w:val="0"/>
                <w:numId w:val="15"/>
              </w:numPr>
              <w:tabs>
                <w:tab w:val="left" w:pos="1833"/>
              </w:tabs>
              <w:autoSpaceDE w:val="0"/>
              <w:autoSpaceDN w:val="0"/>
              <w:spacing w:line="360" w:lineRule="auto"/>
              <w:ind w:left="438"/>
              <w:rPr>
                <w:rFonts w:asciiTheme="minorHAnsi" w:hAnsiTheme="minorHAnsi" w:cstheme="minorHAnsi"/>
                <w:bCs/>
                <w:color w:val="000000"/>
              </w:rPr>
            </w:pPr>
            <w:r w:rsidRPr="00AE0294">
              <w:rPr>
                <w:rFonts w:asciiTheme="minorHAnsi" w:hAnsiTheme="minorHAnsi" w:cstheme="minorHAnsi"/>
                <w:bCs/>
                <w:color w:val="000000"/>
              </w:rPr>
              <w:t xml:space="preserve">Further, </w:t>
            </w:r>
            <w:r w:rsidR="00C05753" w:rsidRPr="00AE0294">
              <w:rPr>
                <w:rFonts w:asciiTheme="minorHAnsi" w:hAnsiTheme="minorHAnsi" w:cstheme="minorHAnsi"/>
                <w:bCs/>
                <w:color w:val="000000"/>
              </w:rPr>
              <w:t xml:space="preserve">Hon’ble Commission at Para 3.485 in its Tariff Order dated 31.07.2019 has </w:t>
            </w:r>
            <w:r w:rsidR="00C05753" w:rsidRPr="00AE0294">
              <w:rPr>
                <w:rFonts w:asciiTheme="minorHAnsi" w:hAnsiTheme="minorHAnsi" w:cstheme="minorHAnsi"/>
                <w:b/>
                <w:bCs/>
                <w:color w:val="000000"/>
                <w:u w:val="single"/>
              </w:rPr>
              <w:t>trued up Non-Tariff Income</w:t>
            </w:r>
            <w:r w:rsidR="003C7E12" w:rsidRPr="00AE0294">
              <w:rPr>
                <w:rFonts w:asciiTheme="minorHAnsi" w:hAnsiTheme="minorHAnsi" w:cstheme="minorHAnsi"/>
                <w:b/>
                <w:bCs/>
                <w:color w:val="000000"/>
                <w:u w:val="single"/>
              </w:rPr>
              <w:t xml:space="preserve"> </w:t>
            </w:r>
            <w:r w:rsidR="00C05753" w:rsidRPr="00AE0294">
              <w:rPr>
                <w:rFonts w:asciiTheme="minorHAnsi" w:hAnsiTheme="minorHAnsi" w:cstheme="minorHAnsi"/>
                <w:b/>
                <w:bCs/>
                <w:color w:val="000000"/>
                <w:u w:val="single"/>
              </w:rPr>
              <w:t>and Revenue without considering any treatment of interest on advance from consumers for FY 2017-18</w:t>
            </w:r>
          </w:p>
          <w:p w:rsidR="00C263CF" w:rsidRPr="00AE0294" w:rsidRDefault="00C263CF" w:rsidP="009249FD">
            <w:pPr>
              <w:tabs>
                <w:tab w:val="left" w:pos="1833"/>
              </w:tabs>
              <w:autoSpaceDE w:val="0"/>
              <w:autoSpaceDN w:val="0"/>
              <w:spacing w:line="360" w:lineRule="auto"/>
              <w:rPr>
                <w:rFonts w:cstheme="minorHAnsi"/>
                <w:b/>
                <w:bCs/>
                <w:color w:val="000000"/>
                <w:sz w:val="24"/>
                <w:szCs w:val="24"/>
                <w:u w:val="single"/>
              </w:rPr>
            </w:pPr>
          </w:p>
          <w:p w:rsidR="009249FD" w:rsidRPr="00AE0294" w:rsidRDefault="009249FD" w:rsidP="009249FD">
            <w:pPr>
              <w:tabs>
                <w:tab w:val="left" w:pos="1833"/>
              </w:tabs>
              <w:autoSpaceDE w:val="0"/>
              <w:autoSpaceDN w:val="0"/>
              <w:spacing w:line="360" w:lineRule="auto"/>
              <w:rPr>
                <w:rFonts w:cstheme="minorHAnsi"/>
                <w:b/>
                <w:bCs/>
                <w:color w:val="000000"/>
                <w:sz w:val="24"/>
                <w:szCs w:val="24"/>
                <w:u w:val="single"/>
              </w:rPr>
            </w:pPr>
          </w:p>
          <w:p w:rsidR="00C6492A" w:rsidRPr="00AE0294" w:rsidRDefault="00C263CF" w:rsidP="00647A95">
            <w:pPr>
              <w:tabs>
                <w:tab w:val="left" w:pos="1833"/>
              </w:tabs>
              <w:autoSpaceDE w:val="0"/>
              <w:autoSpaceDN w:val="0"/>
              <w:spacing w:line="360" w:lineRule="auto"/>
              <w:ind w:left="78"/>
              <w:rPr>
                <w:rFonts w:cstheme="minorHAnsi"/>
                <w:b/>
                <w:bCs/>
                <w:color w:val="000000"/>
                <w:sz w:val="24"/>
                <w:szCs w:val="24"/>
                <w:u w:val="single"/>
              </w:rPr>
            </w:pPr>
            <w:r w:rsidRPr="00AE0294">
              <w:rPr>
                <w:rFonts w:cstheme="minorHAnsi"/>
                <w:b/>
                <w:bCs/>
                <w:color w:val="000000"/>
                <w:sz w:val="24"/>
                <w:szCs w:val="24"/>
                <w:u w:val="single"/>
              </w:rPr>
              <w:t xml:space="preserve">For </w:t>
            </w:r>
            <w:r w:rsidR="00647A95" w:rsidRPr="00AE0294">
              <w:rPr>
                <w:rFonts w:cstheme="minorHAnsi"/>
                <w:b/>
                <w:bCs/>
                <w:color w:val="000000"/>
                <w:sz w:val="24"/>
                <w:szCs w:val="24"/>
                <w:u w:val="single"/>
              </w:rPr>
              <w:t>FY 2018-19</w:t>
            </w:r>
            <w:r w:rsidRPr="00AE0294">
              <w:rPr>
                <w:rFonts w:cstheme="minorHAnsi"/>
                <w:b/>
                <w:bCs/>
                <w:color w:val="000000"/>
                <w:sz w:val="24"/>
                <w:szCs w:val="24"/>
                <w:u w:val="single"/>
              </w:rPr>
              <w:t xml:space="preserve"> and FY 2019-20</w:t>
            </w:r>
            <w:r w:rsidR="00647A95" w:rsidRPr="00AE0294">
              <w:rPr>
                <w:rFonts w:cstheme="minorHAnsi"/>
                <w:b/>
                <w:bCs/>
                <w:color w:val="000000"/>
                <w:sz w:val="24"/>
                <w:szCs w:val="24"/>
                <w:u w:val="single"/>
              </w:rPr>
              <w:t>:</w:t>
            </w:r>
          </w:p>
          <w:p w:rsidR="00647A95" w:rsidRPr="00AE0294" w:rsidRDefault="00647A95" w:rsidP="00BC3A95">
            <w:pPr>
              <w:pStyle w:val="ListParagraph"/>
              <w:numPr>
                <w:ilvl w:val="0"/>
                <w:numId w:val="15"/>
              </w:numPr>
              <w:tabs>
                <w:tab w:val="left" w:pos="1833"/>
              </w:tabs>
              <w:autoSpaceDE w:val="0"/>
              <w:autoSpaceDN w:val="0"/>
              <w:spacing w:line="360" w:lineRule="auto"/>
              <w:ind w:left="438"/>
              <w:rPr>
                <w:rFonts w:asciiTheme="minorHAnsi" w:hAnsiTheme="minorHAnsi" w:cstheme="minorHAnsi"/>
                <w:b/>
                <w:bCs/>
                <w:color w:val="000000"/>
                <w:u w:val="single"/>
              </w:rPr>
            </w:pPr>
            <w:r w:rsidRPr="00AE0294">
              <w:rPr>
                <w:rFonts w:asciiTheme="minorHAnsi" w:hAnsiTheme="minorHAnsi" w:cstheme="minorHAnsi"/>
                <w:bCs/>
                <w:color w:val="000000"/>
              </w:rPr>
              <w:t>Hon’ble Commission at  Para 4.111</w:t>
            </w:r>
            <w:r w:rsidR="00F507BA" w:rsidRPr="00AE0294">
              <w:rPr>
                <w:rFonts w:asciiTheme="minorHAnsi" w:hAnsiTheme="minorHAnsi" w:cstheme="minorHAnsi"/>
                <w:bCs/>
                <w:color w:val="000000"/>
              </w:rPr>
              <w:t xml:space="preserve"> and Para 4.148</w:t>
            </w:r>
            <w:r w:rsidRPr="00AE0294">
              <w:rPr>
                <w:rFonts w:asciiTheme="minorHAnsi" w:hAnsiTheme="minorHAnsi" w:cstheme="minorHAnsi"/>
                <w:bCs/>
                <w:color w:val="000000"/>
              </w:rPr>
              <w:t xml:space="preserve"> of the Tariff Order dated 28.03.2018 </w:t>
            </w:r>
            <w:r w:rsidR="00F507BA" w:rsidRPr="00AE0294">
              <w:rPr>
                <w:rFonts w:asciiTheme="minorHAnsi" w:hAnsiTheme="minorHAnsi" w:cstheme="minorHAnsi"/>
                <w:bCs/>
                <w:color w:val="000000"/>
              </w:rPr>
              <w:t xml:space="preserve">and 31.07.2019 respectively, </w:t>
            </w:r>
            <w:r w:rsidRPr="00AE0294">
              <w:rPr>
                <w:rFonts w:asciiTheme="minorHAnsi" w:hAnsiTheme="minorHAnsi" w:cstheme="minorHAnsi"/>
                <w:bCs/>
                <w:color w:val="000000"/>
              </w:rPr>
              <w:t xml:space="preserve">has </w:t>
            </w:r>
            <w:r w:rsidRPr="00AE0294">
              <w:rPr>
                <w:rFonts w:asciiTheme="minorHAnsi" w:hAnsiTheme="minorHAnsi" w:cstheme="minorHAnsi"/>
                <w:b/>
                <w:bCs/>
                <w:color w:val="000000"/>
                <w:u w:val="single"/>
              </w:rPr>
              <w:t>projected Non-</w:t>
            </w:r>
            <w:r w:rsidRPr="00AE0294">
              <w:rPr>
                <w:rFonts w:asciiTheme="minorHAnsi" w:hAnsiTheme="minorHAnsi" w:cstheme="minorHAnsi"/>
                <w:b/>
                <w:bCs/>
                <w:color w:val="000000"/>
                <w:u w:val="single"/>
              </w:rPr>
              <w:lastRenderedPageBreak/>
              <w:t>Tariff Income and Revenue without considering any treatment of interest on advance from consumers</w:t>
            </w:r>
            <w:r w:rsidR="004346F3" w:rsidRPr="00AE0294">
              <w:rPr>
                <w:rFonts w:asciiTheme="minorHAnsi" w:hAnsiTheme="minorHAnsi" w:cstheme="minorHAnsi"/>
                <w:b/>
                <w:bCs/>
                <w:color w:val="000000"/>
                <w:u w:val="single"/>
              </w:rPr>
              <w:t xml:space="preserve"> </w:t>
            </w:r>
            <w:r w:rsidRPr="00AE0294">
              <w:rPr>
                <w:rFonts w:asciiTheme="minorHAnsi" w:hAnsiTheme="minorHAnsi" w:cstheme="minorHAnsi"/>
                <w:b/>
                <w:bCs/>
                <w:color w:val="000000"/>
                <w:u w:val="single"/>
              </w:rPr>
              <w:t>for FY 2018-19</w:t>
            </w:r>
            <w:r w:rsidR="00C263CF" w:rsidRPr="00AE0294">
              <w:rPr>
                <w:rFonts w:asciiTheme="minorHAnsi" w:hAnsiTheme="minorHAnsi" w:cstheme="minorHAnsi"/>
                <w:b/>
                <w:bCs/>
                <w:color w:val="000000"/>
                <w:u w:val="single"/>
              </w:rPr>
              <w:t xml:space="preserve"> either in the ARR or in the Non-Tariff Income.</w:t>
            </w:r>
          </w:p>
        </w:tc>
        <w:tc>
          <w:tcPr>
            <w:tcW w:w="3969" w:type="dxa"/>
            <w:tcBorders>
              <w:top w:val="single" w:sz="6" w:space="0" w:color="000000"/>
              <w:left w:val="single" w:sz="6" w:space="0" w:color="000000"/>
              <w:bottom w:val="single" w:sz="6" w:space="0" w:color="000000"/>
              <w:right w:val="single" w:sz="6" w:space="0" w:color="000000"/>
            </w:tcBorders>
          </w:tcPr>
          <w:p w:rsidR="00647A95" w:rsidRPr="00AE0294" w:rsidRDefault="00647A95" w:rsidP="00647A95">
            <w:pPr>
              <w:tabs>
                <w:tab w:val="left" w:pos="1833"/>
              </w:tabs>
              <w:autoSpaceDE w:val="0"/>
              <w:autoSpaceDN w:val="0"/>
              <w:spacing w:after="0" w:line="360" w:lineRule="auto"/>
              <w:rPr>
                <w:rFonts w:cstheme="minorHAnsi"/>
                <w:b/>
                <w:bCs/>
                <w:color w:val="000000"/>
                <w:sz w:val="24"/>
                <w:szCs w:val="24"/>
                <w:u w:val="single"/>
              </w:rPr>
            </w:pPr>
            <w:r w:rsidRPr="00AE0294">
              <w:rPr>
                <w:rFonts w:cstheme="minorHAnsi"/>
                <w:b/>
                <w:bCs/>
                <w:color w:val="000000"/>
                <w:sz w:val="24"/>
                <w:szCs w:val="24"/>
                <w:u w:val="single"/>
              </w:rPr>
              <w:lastRenderedPageBreak/>
              <w:t>For FY 2017-18</w:t>
            </w:r>
          </w:p>
          <w:p w:rsidR="00C6492A" w:rsidRPr="00AE0294" w:rsidRDefault="00C6492A" w:rsidP="00BC3A95">
            <w:pPr>
              <w:pStyle w:val="ListParagraph"/>
              <w:numPr>
                <w:ilvl w:val="0"/>
                <w:numId w:val="15"/>
              </w:numPr>
              <w:tabs>
                <w:tab w:val="left" w:pos="1833"/>
              </w:tabs>
              <w:autoSpaceDE w:val="0"/>
              <w:autoSpaceDN w:val="0"/>
              <w:spacing w:line="360" w:lineRule="auto"/>
              <w:ind w:left="438"/>
              <w:rPr>
                <w:rFonts w:asciiTheme="minorHAnsi" w:hAnsiTheme="minorHAnsi" w:cstheme="minorHAnsi"/>
                <w:bCs/>
                <w:color w:val="000000"/>
              </w:rPr>
            </w:pPr>
            <w:r w:rsidRPr="00AE0294">
              <w:rPr>
                <w:rFonts w:asciiTheme="minorHAnsi" w:hAnsiTheme="minorHAnsi" w:cstheme="minorHAnsi"/>
                <w:bCs/>
                <w:color w:val="000000"/>
              </w:rPr>
              <w:t xml:space="preserve">Hon’ble Commission </w:t>
            </w:r>
            <w:r w:rsidR="00C05753" w:rsidRPr="00AE0294">
              <w:rPr>
                <w:rFonts w:asciiTheme="minorHAnsi" w:hAnsiTheme="minorHAnsi" w:cstheme="minorHAnsi"/>
                <w:bCs/>
                <w:color w:val="000000"/>
              </w:rPr>
              <w:t>at Para 3.50 to 3.56 (Table 3.6) of Tariff Order dated 28.08.2020</w:t>
            </w:r>
            <w:r w:rsidR="00647A95" w:rsidRPr="00AE0294">
              <w:rPr>
                <w:rFonts w:asciiTheme="minorHAnsi" w:hAnsiTheme="minorHAnsi" w:cstheme="minorHAnsi"/>
                <w:bCs/>
                <w:color w:val="000000"/>
              </w:rPr>
              <w:t xml:space="preserve"> </w:t>
            </w:r>
            <w:r w:rsidRPr="00AE0294">
              <w:rPr>
                <w:rFonts w:asciiTheme="minorHAnsi" w:hAnsiTheme="minorHAnsi" w:cstheme="minorHAnsi"/>
                <w:bCs/>
                <w:color w:val="000000"/>
              </w:rPr>
              <w:t xml:space="preserve">has erred in </w:t>
            </w:r>
            <w:r w:rsidRPr="00AE0294">
              <w:rPr>
                <w:rFonts w:asciiTheme="minorHAnsi" w:hAnsiTheme="minorHAnsi" w:cstheme="minorHAnsi"/>
                <w:b/>
                <w:bCs/>
                <w:color w:val="000000"/>
                <w:u w:val="single"/>
              </w:rPr>
              <w:t>re-opening the True Up for FY 2017-</w:t>
            </w:r>
            <w:r w:rsidRPr="00AE0294">
              <w:rPr>
                <w:rFonts w:asciiTheme="minorHAnsi" w:hAnsiTheme="minorHAnsi" w:cstheme="minorHAnsi"/>
                <w:b/>
                <w:bCs/>
                <w:color w:val="000000"/>
                <w:u w:val="single"/>
              </w:rPr>
              <w:lastRenderedPageBreak/>
              <w:t xml:space="preserve">18 by </w:t>
            </w:r>
            <w:r w:rsidR="00C05753" w:rsidRPr="00AE0294">
              <w:rPr>
                <w:rFonts w:asciiTheme="minorHAnsi" w:hAnsiTheme="minorHAnsi" w:cstheme="minorHAnsi"/>
                <w:b/>
                <w:bCs/>
                <w:color w:val="000000"/>
                <w:u w:val="single"/>
              </w:rPr>
              <w:t>adding the amount of interest on advance from consumer</w:t>
            </w:r>
            <w:r w:rsidRPr="00AE0294">
              <w:rPr>
                <w:rFonts w:asciiTheme="minorHAnsi" w:hAnsiTheme="minorHAnsi" w:cstheme="minorHAnsi"/>
                <w:b/>
                <w:bCs/>
                <w:color w:val="000000"/>
                <w:u w:val="single"/>
              </w:rPr>
              <w:t xml:space="preserve"> in Non-Tariff Income</w:t>
            </w:r>
            <w:r w:rsidRPr="00AE0294">
              <w:rPr>
                <w:rFonts w:asciiTheme="minorHAnsi" w:hAnsiTheme="minorHAnsi" w:cstheme="minorHAnsi"/>
                <w:bCs/>
                <w:color w:val="000000"/>
              </w:rPr>
              <w:t xml:space="preserve">, </w:t>
            </w:r>
            <w:r w:rsidR="00647A95" w:rsidRPr="00AE0294">
              <w:rPr>
                <w:rFonts w:asciiTheme="minorHAnsi" w:hAnsiTheme="minorHAnsi" w:cstheme="minorHAnsi"/>
                <w:bCs/>
                <w:color w:val="000000"/>
              </w:rPr>
              <w:t xml:space="preserve">which is </w:t>
            </w:r>
            <w:r w:rsidR="004346F3" w:rsidRPr="00AE0294">
              <w:rPr>
                <w:rFonts w:asciiTheme="minorHAnsi" w:hAnsiTheme="minorHAnsi" w:cstheme="minorHAnsi"/>
                <w:bCs/>
                <w:color w:val="000000"/>
              </w:rPr>
              <w:t xml:space="preserve">is not considered </w:t>
            </w:r>
            <w:r w:rsidR="00647A95" w:rsidRPr="00AE0294">
              <w:rPr>
                <w:rFonts w:asciiTheme="minorHAnsi" w:hAnsiTheme="minorHAnsi" w:cstheme="minorHAnsi"/>
                <w:bCs/>
                <w:color w:val="000000"/>
              </w:rPr>
              <w:t>at the time of ARR and previous True Up for FY 2017-18</w:t>
            </w:r>
            <w:r w:rsidR="00C05753" w:rsidRPr="00AE0294">
              <w:rPr>
                <w:rFonts w:asciiTheme="minorHAnsi" w:hAnsiTheme="minorHAnsi" w:cstheme="minorHAnsi"/>
                <w:bCs/>
                <w:color w:val="000000"/>
              </w:rPr>
              <w:t>.</w:t>
            </w:r>
          </w:p>
          <w:p w:rsidR="00647A95" w:rsidRPr="00AE0294" w:rsidRDefault="00647A95" w:rsidP="00647A95">
            <w:pPr>
              <w:tabs>
                <w:tab w:val="left" w:pos="1833"/>
              </w:tabs>
              <w:autoSpaceDE w:val="0"/>
              <w:autoSpaceDN w:val="0"/>
              <w:spacing w:line="360" w:lineRule="auto"/>
              <w:rPr>
                <w:rFonts w:cstheme="minorHAnsi"/>
                <w:bCs/>
                <w:color w:val="000000"/>
                <w:sz w:val="24"/>
                <w:szCs w:val="24"/>
              </w:rPr>
            </w:pPr>
          </w:p>
          <w:p w:rsidR="00647A95" w:rsidRPr="00AE0294" w:rsidRDefault="00647A95" w:rsidP="00647A95">
            <w:pPr>
              <w:tabs>
                <w:tab w:val="left" w:pos="1833"/>
              </w:tabs>
              <w:autoSpaceDE w:val="0"/>
              <w:autoSpaceDN w:val="0"/>
              <w:spacing w:line="360" w:lineRule="auto"/>
              <w:rPr>
                <w:rFonts w:cstheme="minorHAnsi"/>
                <w:b/>
                <w:bCs/>
                <w:color w:val="000000"/>
                <w:sz w:val="24"/>
                <w:szCs w:val="24"/>
                <w:u w:val="single"/>
              </w:rPr>
            </w:pPr>
          </w:p>
          <w:p w:rsidR="00C263CF" w:rsidRPr="00AE0294" w:rsidRDefault="00C263CF" w:rsidP="00647A95">
            <w:pPr>
              <w:tabs>
                <w:tab w:val="left" w:pos="1833"/>
              </w:tabs>
              <w:autoSpaceDE w:val="0"/>
              <w:autoSpaceDN w:val="0"/>
              <w:spacing w:line="360" w:lineRule="auto"/>
              <w:rPr>
                <w:rFonts w:cstheme="minorHAnsi"/>
                <w:b/>
                <w:bCs/>
                <w:color w:val="000000"/>
                <w:sz w:val="24"/>
                <w:szCs w:val="24"/>
                <w:u w:val="single"/>
              </w:rPr>
            </w:pPr>
          </w:p>
          <w:p w:rsidR="00C263CF" w:rsidRPr="00AE0294" w:rsidRDefault="00C263CF" w:rsidP="00647A95">
            <w:pPr>
              <w:tabs>
                <w:tab w:val="left" w:pos="1833"/>
              </w:tabs>
              <w:autoSpaceDE w:val="0"/>
              <w:autoSpaceDN w:val="0"/>
              <w:spacing w:line="360" w:lineRule="auto"/>
              <w:rPr>
                <w:rFonts w:cstheme="minorHAnsi"/>
                <w:b/>
                <w:bCs/>
                <w:color w:val="000000"/>
                <w:sz w:val="24"/>
                <w:szCs w:val="24"/>
                <w:u w:val="single"/>
              </w:rPr>
            </w:pPr>
          </w:p>
          <w:p w:rsidR="009249FD" w:rsidRPr="00AE0294" w:rsidRDefault="009249FD" w:rsidP="00647A95">
            <w:pPr>
              <w:tabs>
                <w:tab w:val="left" w:pos="1833"/>
              </w:tabs>
              <w:autoSpaceDE w:val="0"/>
              <w:autoSpaceDN w:val="0"/>
              <w:spacing w:line="360" w:lineRule="auto"/>
              <w:rPr>
                <w:rFonts w:cstheme="minorHAnsi"/>
                <w:b/>
                <w:bCs/>
                <w:color w:val="000000"/>
                <w:sz w:val="24"/>
                <w:szCs w:val="24"/>
                <w:u w:val="single"/>
              </w:rPr>
            </w:pPr>
          </w:p>
          <w:p w:rsidR="003C7E12" w:rsidRPr="00AE0294" w:rsidRDefault="003C7E12" w:rsidP="00647A95">
            <w:pPr>
              <w:tabs>
                <w:tab w:val="left" w:pos="1833"/>
              </w:tabs>
              <w:autoSpaceDE w:val="0"/>
              <w:autoSpaceDN w:val="0"/>
              <w:spacing w:line="360" w:lineRule="auto"/>
              <w:rPr>
                <w:rFonts w:cstheme="minorHAnsi"/>
                <w:b/>
                <w:bCs/>
                <w:color w:val="000000"/>
                <w:sz w:val="24"/>
                <w:szCs w:val="24"/>
                <w:u w:val="single"/>
              </w:rPr>
            </w:pPr>
            <w:r w:rsidRPr="00AE0294">
              <w:rPr>
                <w:rFonts w:cstheme="minorHAnsi"/>
                <w:b/>
                <w:bCs/>
                <w:color w:val="000000"/>
                <w:sz w:val="24"/>
                <w:szCs w:val="24"/>
                <w:u w:val="single"/>
              </w:rPr>
              <w:t xml:space="preserve">For FY </w:t>
            </w:r>
            <w:r w:rsidR="00647A95" w:rsidRPr="00AE0294">
              <w:rPr>
                <w:rFonts w:cstheme="minorHAnsi"/>
                <w:b/>
                <w:bCs/>
                <w:color w:val="000000"/>
                <w:sz w:val="24"/>
                <w:szCs w:val="24"/>
                <w:u w:val="single"/>
              </w:rPr>
              <w:t>2018-19</w:t>
            </w:r>
            <w:r w:rsidR="00C263CF" w:rsidRPr="00AE0294">
              <w:rPr>
                <w:rFonts w:cstheme="minorHAnsi"/>
                <w:b/>
                <w:bCs/>
                <w:color w:val="000000"/>
                <w:sz w:val="24"/>
                <w:szCs w:val="24"/>
                <w:u w:val="single"/>
              </w:rPr>
              <w:t xml:space="preserve"> and FY 2019-20</w:t>
            </w:r>
          </w:p>
          <w:p w:rsidR="00647A95" w:rsidRPr="00AE0294" w:rsidRDefault="00647A95" w:rsidP="00443941">
            <w:pPr>
              <w:pStyle w:val="ListParagraph"/>
              <w:numPr>
                <w:ilvl w:val="0"/>
                <w:numId w:val="15"/>
              </w:numPr>
              <w:tabs>
                <w:tab w:val="left" w:pos="1833"/>
              </w:tabs>
              <w:autoSpaceDE w:val="0"/>
              <w:autoSpaceDN w:val="0"/>
              <w:spacing w:line="360" w:lineRule="auto"/>
              <w:ind w:left="438"/>
              <w:rPr>
                <w:rFonts w:asciiTheme="minorHAnsi" w:hAnsiTheme="minorHAnsi" w:cstheme="minorHAnsi"/>
                <w:bCs/>
                <w:color w:val="000000"/>
              </w:rPr>
            </w:pPr>
            <w:r w:rsidRPr="00AE0294">
              <w:rPr>
                <w:rFonts w:asciiTheme="minorHAnsi" w:hAnsiTheme="minorHAnsi" w:cstheme="minorHAnsi"/>
                <w:bCs/>
                <w:color w:val="000000"/>
              </w:rPr>
              <w:t>Hon’ble Commission at Para 3</w:t>
            </w:r>
            <w:r w:rsidR="00443941" w:rsidRPr="00AE0294">
              <w:rPr>
                <w:rFonts w:asciiTheme="minorHAnsi" w:hAnsiTheme="minorHAnsi" w:cstheme="minorHAnsi"/>
                <w:bCs/>
                <w:color w:val="000000"/>
              </w:rPr>
              <w:t>.333</w:t>
            </w:r>
            <w:r w:rsidR="00F507BA" w:rsidRPr="00AE0294">
              <w:rPr>
                <w:rFonts w:asciiTheme="minorHAnsi" w:hAnsiTheme="minorHAnsi" w:cstheme="minorHAnsi"/>
                <w:bCs/>
                <w:color w:val="000000"/>
              </w:rPr>
              <w:t xml:space="preserve"> and Para 3.293</w:t>
            </w:r>
            <w:r w:rsidRPr="00AE0294">
              <w:rPr>
                <w:rFonts w:asciiTheme="minorHAnsi" w:hAnsiTheme="minorHAnsi" w:cstheme="minorHAnsi"/>
                <w:bCs/>
                <w:color w:val="000000"/>
              </w:rPr>
              <w:t xml:space="preserve"> of </w:t>
            </w:r>
            <w:r w:rsidR="00F507BA" w:rsidRPr="00AE0294">
              <w:rPr>
                <w:rFonts w:asciiTheme="minorHAnsi" w:hAnsiTheme="minorHAnsi" w:cstheme="minorHAnsi"/>
                <w:bCs/>
                <w:color w:val="000000"/>
              </w:rPr>
              <w:t xml:space="preserve">the </w:t>
            </w:r>
            <w:r w:rsidRPr="00AE0294">
              <w:rPr>
                <w:rFonts w:asciiTheme="minorHAnsi" w:hAnsiTheme="minorHAnsi" w:cstheme="minorHAnsi"/>
                <w:bCs/>
                <w:color w:val="000000"/>
              </w:rPr>
              <w:t>Tariff Order dated 28.08.2020</w:t>
            </w:r>
            <w:r w:rsidR="00F507BA" w:rsidRPr="00AE0294">
              <w:rPr>
                <w:rFonts w:asciiTheme="minorHAnsi" w:hAnsiTheme="minorHAnsi" w:cstheme="minorHAnsi"/>
                <w:bCs/>
                <w:color w:val="000000"/>
              </w:rPr>
              <w:t xml:space="preserve"> and 30.09.2021 repsectively,</w:t>
            </w:r>
            <w:r w:rsidRPr="00AE0294">
              <w:rPr>
                <w:rFonts w:asciiTheme="minorHAnsi" w:hAnsiTheme="minorHAnsi" w:cstheme="minorHAnsi"/>
                <w:bCs/>
                <w:color w:val="000000"/>
              </w:rPr>
              <w:t xml:space="preserve"> </w:t>
            </w:r>
            <w:r w:rsidR="00C263CF" w:rsidRPr="00AE0294">
              <w:rPr>
                <w:rFonts w:asciiTheme="minorHAnsi" w:hAnsiTheme="minorHAnsi" w:cstheme="minorHAnsi"/>
                <w:b/>
                <w:bCs/>
                <w:color w:val="000000"/>
                <w:u w:val="single"/>
              </w:rPr>
              <w:t>at the time of truing-</w:t>
            </w:r>
            <w:r w:rsidR="00C263CF" w:rsidRPr="00AE0294">
              <w:rPr>
                <w:rFonts w:asciiTheme="minorHAnsi" w:hAnsiTheme="minorHAnsi" w:cstheme="minorHAnsi"/>
                <w:b/>
                <w:bCs/>
                <w:color w:val="000000"/>
                <w:u w:val="single"/>
              </w:rPr>
              <w:lastRenderedPageBreak/>
              <w:t>up of FY 2018-19</w:t>
            </w:r>
            <w:r w:rsidR="00F507BA" w:rsidRPr="00AE0294">
              <w:rPr>
                <w:rFonts w:asciiTheme="minorHAnsi" w:hAnsiTheme="minorHAnsi" w:cstheme="minorHAnsi"/>
                <w:b/>
                <w:bCs/>
                <w:color w:val="000000"/>
                <w:u w:val="single"/>
              </w:rPr>
              <w:t xml:space="preserve"> and FY 2019-20</w:t>
            </w:r>
            <w:r w:rsidR="00C263CF" w:rsidRPr="00AE0294">
              <w:rPr>
                <w:rFonts w:asciiTheme="minorHAnsi" w:hAnsiTheme="minorHAnsi" w:cstheme="minorHAnsi"/>
                <w:b/>
                <w:bCs/>
                <w:color w:val="000000"/>
                <w:u w:val="single"/>
              </w:rPr>
              <w:t xml:space="preserve"> </w:t>
            </w:r>
            <w:r w:rsidRPr="00AE0294">
              <w:rPr>
                <w:rFonts w:asciiTheme="minorHAnsi" w:hAnsiTheme="minorHAnsi" w:cstheme="minorHAnsi"/>
                <w:b/>
                <w:bCs/>
                <w:color w:val="000000"/>
                <w:u w:val="single"/>
              </w:rPr>
              <w:t>has</w:t>
            </w:r>
            <w:r w:rsidRPr="00AE0294">
              <w:rPr>
                <w:rFonts w:asciiTheme="minorHAnsi" w:hAnsiTheme="minorHAnsi" w:cstheme="minorHAnsi"/>
                <w:bCs/>
                <w:color w:val="000000"/>
              </w:rPr>
              <w:t xml:space="preserve"> </w:t>
            </w:r>
            <w:r w:rsidR="00C263CF" w:rsidRPr="00AE0294">
              <w:rPr>
                <w:rFonts w:asciiTheme="minorHAnsi" w:hAnsiTheme="minorHAnsi" w:cstheme="minorHAnsi"/>
                <w:b/>
                <w:bCs/>
                <w:color w:val="000000"/>
                <w:u w:val="single"/>
              </w:rPr>
              <w:t xml:space="preserve">considered deemed interest on advance from  consumers as </w:t>
            </w:r>
            <w:r w:rsidR="004346F3" w:rsidRPr="00AE0294">
              <w:rPr>
                <w:rFonts w:asciiTheme="minorHAnsi" w:hAnsiTheme="minorHAnsi" w:cstheme="minorHAnsi"/>
                <w:b/>
                <w:bCs/>
                <w:color w:val="000000"/>
                <w:u w:val="single"/>
              </w:rPr>
              <w:t xml:space="preserve">Non-Tariff Income </w:t>
            </w:r>
            <w:r w:rsidR="00C263CF" w:rsidRPr="00AE0294">
              <w:rPr>
                <w:rFonts w:asciiTheme="minorHAnsi" w:hAnsiTheme="minorHAnsi" w:cstheme="minorHAnsi"/>
                <w:b/>
                <w:bCs/>
                <w:color w:val="000000"/>
                <w:u w:val="single"/>
              </w:rPr>
              <w:t xml:space="preserve">of the Petitioner </w:t>
            </w:r>
            <w:r w:rsidR="004346F3" w:rsidRPr="00AE0294">
              <w:rPr>
                <w:rFonts w:asciiTheme="minorHAnsi" w:hAnsiTheme="minorHAnsi" w:cstheme="minorHAnsi"/>
                <w:b/>
                <w:bCs/>
                <w:color w:val="000000"/>
                <w:u w:val="single"/>
              </w:rPr>
              <w:t>for</w:t>
            </w:r>
            <w:r w:rsidRPr="00AE0294">
              <w:rPr>
                <w:rFonts w:asciiTheme="minorHAnsi" w:hAnsiTheme="minorHAnsi" w:cstheme="minorHAnsi"/>
                <w:b/>
                <w:bCs/>
                <w:color w:val="000000"/>
                <w:u w:val="single"/>
              </w:rPr>
              <w:t xml:space="preserve"> FY 201</w:t>
            </w:r>
            <w:r w:rsidR="004346F3" w:rsidRPr="00AE0294">
              <w:rPr>
                <w:rFonts w:asciiTheme="minorHAnsi" w:hAnsiTheme="minorHAnsi" w:cstheme="minorHAnsi"/>
                <w:b/>
                <w:bCs/>
                <w:color w:val="000000"/>
                <w:u w:val="single"/>
              </w:rPr>
              <w:t>8-19</w:t>
            </w:r>
            <w:r w:rsidRPr="00AE0294">
              <w:rPr>
                <w:rFonts w:asciiTheme="minorHAnsi" w:hAnsiTheme="minorHAnsi" w:cstheme="minorHAnsi"/>
                <w:b/>
                <w:bCs/>
                <w:color w:val="000000"/>
                <w:u w:val="single"/>
              </w:rPr>
              <w:t xml:space="preserve"> </w:t>
            </w:r>
            <w:r w:rsidR="00C263CF" w:rsidRPr="00AE0294">
              <w:rPr>
                <w:rFonts w:asciiTheme="minorHAnsi" w:hAnsiTheme="minorHAnsi" w:cstheme="minorHAnsi"/>
                <w:b/>
                <w:bCs/>
                <w:color w:val="000000"/>
                <w:u w:val="single"/>
              </w:rPr>
              <w:t>thereby reducing the ARR.</w:t>
            </w:r>
          </w:p>
        </w:tc>
        <w:tc>
          <w:tcPr>
            <w:tcW w:w="3537" w:type="dxa"/>
            <w:tcBorders>
              <w:top w:val="single" w:sz="6" w:space="0" w:color="000000"/>
              <w:left w:val="single" w:sz="6" w:space="0" w:color="000000"/>
              <w:bottom w:val="single" w:sz="6" w:space="0" w:color="000000"/>
              <w:right w:val="single" w:sz="6" w:space="0" w:color="000000"/>
            </w:tcBorders>
          </w:tcPr>
          <w:p w:rsidR="00C6492A" w:rsidRPr="00AE0294" w:rsidRDefault="00C05753" w:rsidP="00BC3A95">
            <w:pPr>
              <w:pStyle w:val="ListParagraph"/>
              <w:numPr>
                <w:ilvl w:val="0"/>
                <w:numId w:val="15"/>
              </w:numPr>
              <w:autoSpaceDE w:val="0"/>
              <w:autoSpaceDN w:val="0"/>
              <w:spacing w:line="360" w:lineRule="auto"/>
              <w:ind w:left="438"/>
              <w:rPr>
                <w:rFonts w:asciiTheme="minorHAnsi" w:hAnsiTheme="minorHAnsi" w:cstheme="minorHAnsi"/>
              </w:rPr>
            </w:pPr>
            <w:r w:rsidRPr="00AE0294">
              <w:rPr>
                <w:rFonts w:asciiTheme="minorHAnsi" w:hAnsiTheme="minorHAnsi" w:cstheme="minorHAnsi"/>
              </w:rPr>
              <w:lastRenderedPageBreak/>
              <w:t>T</w:t>
            </w:r>
            <w:r w:rsidR="00C6492A" w:rsidRPr="00AE0294">
              <w:rPr>
                <w:rFonts w:asciiTheme="minorHAnsi" w:hAnsiTheme="minorHAnsi" w:cstheme="minorHAnsi"/>
              </w:rPr>
              <w:t xml:space="preserve">he Petitioner requests the Hon’ble Commission not to </w:t>
            </w:r>
            <w:r w:rsidR="00E06F84" w:rsidRPr="00AE0294">
              <w:rPr>
                <w:rFonts w:asciiTheme="minorHAnsi" w:hAnsiTheme="minorHAnsi" w:cstheme="minorHAnsi"/>
              </w:rPr>
              <w:t xml:space="preserve">consider any deemed interest on </w:t>
            </w:r>
            <w:r w:rsidR="00C6492A" w:rsidRPr="00AE0294">
              <w:rPr>
                <w:rFonts w:asciiTheme="minorHAnsi" w:hAnsiTheme="minorHAnsi" w:cstheme="minorHAnsi"/>
              </w:rPr>
              <w:t>Advance from Consumers as</w:t>
            </w:r>
            <w:r w:rsidR="00E06F84" w:rsidRPr="00AE0294">
              <w:rPr>
                <w:rFonts w:asciiTheme="minorHAnsi" w:hAnsiTheme="minorHAnsi" w:cstheme="minorHAnsi"/>
              </w:rPr>
              <w:t xml:space="preserve"> it was not a part of the </w:t>
            </w:r>
            <w:r w:rsidR="00E06F84" w:rsidRPr="00AE0294">
              <w:rPr>
                <w:rFonts w:asciiTheme="minorHAnsi" w:hAnsiTheme="minorHAnsi" w:cstheme="minorHAnsi"/>
              </w:rPr>
              <w:lastRenderedPageBreak/>
              <w:t>projections of ARR</w:t>
            </w:r>
            <w:r w:rsidR="00C6492A" w:rsidRPr="00AE0294">
              <w:rPr>
                <w:rFonts w:asciiTheme="minorHAnsi" w:hAnsiTheme="minorHAnsi" w:cstheme="minorHAnsi"/>
              </w:rPr>
              <w:t xml:space="preserve"> </w:t>
            </w:r>
            <w:r w:rsidR="00E06F84" w:rsidRPr="00AE0294">
              <w:rPr>
                <w:rFonts w:asciiTheme="minorHAnsi" w:hAnsiTheme="minorHAnsi" w:cstheme="minorHAnsi"/>
              </w:rPr>
              <w:t>for</w:t>
            </w:r>
            <w:r w:rsidR="00C6492A" w:rsidRPr="00AE0294">
              <w:rPr>
                <w:rFonts w:asciiTheme="minorHAnsi" w:hAnsiTheme="minorHAnsi" w:cstheme="minorHAnsi"/>
              </w:rPr>
              <w:t xml:space="preserve"> FY </w:t>
            </w:r>
            <w:r w:rsidR="00E06F84" w:rsidRPr="00AE0294">
              <w:rPr>
                <w:rFonts w:asciiTheme="minorHAnsi" w:hAnsiTheme="minorHAnsi" w:cstheme="minorHAnsi"/>
              </w:rPr>
              <w:t xml:space="preserve">2017-18 to FY 2019-20 </w:t>
            </w:r>
            <w:r w:rsidR="00C6492A" w:rsidRPr="00AE0294">
              <w:rPr>
                <w:rFonts w:asciiTheme="minorHAnsi" w:hAnsiTheme="minorHAnsi" w:cstheme="minorHAnsi"/>
              </w:rPr>
              <w:t xml:space="preserve">amounting to ₹ 25.8 Crores </w:t>
            </w:r>
            <w:r w:rsidRPr="00AE0294">
              <w:rPr>
                <w:rFonts w:asciiTheme="minorHAnsi" w:hAnsiTheme="minorHAnsi" w:cstheme="minorHAnsi"/>
              </w:rPr>
              <w:t>(</w:t>
            </w:r>
            <w:r w:rsidR="00C6492A" w:rsidRPr="00AE0294">
              <w:rPr>
                <w:rFonts w:asciiTheme="minorHAnsi" w:hAnsiTheme="minorHAnsi" w:cstheme="minorHAnsi"/>
              </w:rPr>
              <w:t>including carrying cost</w:t>
            </w:r>
            <w:r w:rsidRPr="00AE0294">
              <w:rPr>
                <w:rFonts w:asciiTheme="minorHAnsi" w:hAnsiTheme="minorHAnsi" w:cstheme="minorHAnsi"/>
              </w:rPr>
              <w:t>)</w:t>
            </w:r>
            <w:r w:rsidR="00C6492A" w:rsidRPr="00AE0294">
              <w:rPr>
                <w:rFonts w:asciiTheme="minorHAnsi" w:hAnsiTheme="minorHAnsi" w:cstheme="minorHAnsi"/>
              </w:rPr>
              <w:t>.</w:t>
            </w:r>
          </w:p>
          <w:p w:rsidR="00E06F84" w:rsidRPr="00AE0294" w:rsidRDefault="00101FAE" w:rsidP="00BC3A95">
            <w:pPr>
              <w:pStyle w:val="ListParagraph"/>
              <w:numPr>
                <w:ilvl w:val="0"/>
                <w:numId w:val="15"/>
              </w:numPr>
              <w:autoSpaceDE w:val="0"/>
              <w:autoSpaceDN w:val="0"/>
              <w:spacing w:line="360" w:lineRule="auto"/>
              <w:ind w:left="438"/>
              <w:rPr>
                <w:rFonts w:asciiTheme="minorHAnsi" w:hAnsiTheme="minorHAnsi" w:cstheme="minorHAnsi"/>
              </w:rPr>
            </w:pPr>
            <w:r w:rsidRPr="00AE0294">
              <w:rPr>
                <w:rFonts w:asciiTheme="minorHAnsi" w:hAnsiTheme="minorHAnsi" w:cstheme="minorHAnsi"/>
                <w:color w:val="000000"/>
              </w:rPr>
              <w:t xml:space="preserve">The detailed computation is enclosed as </w:t>
            </w:r>
            <w:r w:rsidRPr="00AE0294">
              <w:rPr>
                <w:rFonts w:asciiTheme="minorHAnsi" w:hAnsiTheme="minorHAnsi" w:cstheme="minorHAnsi"/>
                <w:b/>
                <w:color w:val="000000"/>
              </w:rPr>
              <w:t>Annexure – 3B(ii)</w:t>
            </w:r>
            <w:r w:rsidRPr="00AE0294">
              <w:rPr>
                <w:rFonts w:asciiTheme="minorHAnsi" w:hAnsiTheme="minorHAnsi" w:cstheme="minorHAnsi"/>
                <w:color w:val="000000"/>
              </w:rPr>
              <w:t>.</w:t>
            </w:r>
          </w:p>
        </w:tc>
      </w:tr>
      <w:tr w:rsidR="00657C48" w:rsidRPr="00AE0294" w:rsidTr="009249FD">
        <w:trPr>
          <w:trHeight w:val="970"/>
        </w:trPr>
        <w:tc>
          <w:tcPr>
            <w:tcW w:w="745" w:type="dxa"/>
            <w:tcBorders>
              <w:top w:val="single" w:sz="6" w:space="0" w:color="000000"/>
              <w:left w:val="single" w:sz="6" w:space="0" w:color="000000"/>
              <w:bottom w:val="single" w:sz="6" w:space="0" w:color="000000"/>
              <w:right w:val="single" w:sz="6" w:space="0" w:color="000000"/>
            </w:tcBorders>
          </w:tcPr>
          <w:p w:rsidR="00C6492A" w:rsidRPr="00AE0294" w:rsidRDefault="00C6492A" w:rsidP="00BC3A95">
            <w:pPr>
              <w:pStyle w:val="ListParagraph"/>
              <w:widowControl/>
              <w:numPr>
                <w:ilvl w:val="0"/>
                <w:numId w:val="9"/>
              </w:numPr>
              <w:autoSpaceDE w:val="0"/>
              <w:autoSpaceDN w:val="0"/>
              <w:spacing w:line="360" w:lineRule="auto"/>
              <w:textAlignment w:val="auto"/>
              <w:rPr>
                <w:rFonts w:asciiTheme="minorHAnsi" w:hAnsiTheme="minorHAnsi" w:cstheme="minorHAnsi"/>
                <w:color w:val="000000"/>
              </w:rPr>
            </w:pPr>
          </w:p>
        </w:tc>
        <w:tc>
          <w:tcPr>
            <w:tcW w:w="2340" w:type="dxa"/>
            <w:tcBorders>
              <w:top w:val="single" w:sz="6" w:space="0" w:color="000000"/>
              <w:left w:val="single" w:sz="6" w:space="0" w:color="000000"/>
              <w:bottom w:val="single" w:sz="6" w:space="0" w:color="000000"/>
              <w:right w:val="single" w:sz="6" w:space="0" w:color="000000"/>
            </w:tcBorders>
          </w:tcPr>
          <w:p w:rsidR="00C6492A" w:rsidRPr="00AE0294" w:rsidRDefault="00A4292D" w:rsidP="00A4292D">
            <w:pPr>
              <w:autoSpaceDE w:val="0"/>
              <w:autoSpaceDN w:val="0"/>
              <w:adjustRightInd w:val="0"/>
              <w:spacing w:after="0" w:line="360" w:lineRule="auto"/>
              <w:jc w:val="both"/>
              <w:rPr>
                <w:rFonts w:cstheme="minorHAnsi"/>
                <w:color w:val="000000"/>
                <w:sz w:val="24"/>
                <w:szCs w:val="24"/>
              </w:rPr>
            </w:pPr>
            <w:r w:rsidRPr="00AE0294">
              <w:rPr>
                <w:rFonts w:cstheme="minorHAnsi"/>
                <w:color w:val="000000"/>
                <w:sz w:val="24"/>
                <w:szCs w:val="24"/>
              </w:rPr>
              <w:t>Exclusion of carrying cost as an Expense in the ARR during True-up</w:t>
            </w:r>
          </w:p>
        </w:tc>
        <w:tc>
          <w:tcPr>
            <w:tcW w:w="4111" w:type="dxa"/>
            <w:tcBorders>
              <w:top w:val="single" w:sz="6" w:space="0" w:color="000000"/>
              <w:left w:val="single" w:sz="6" w:space="0" w:color="000000"/>
              <w:bottom w:val="single" w:sz="6" w:space="0" w:color="000000"/>
              <w:right w:val="single" w:sz="6" w:space="0" w:color="000000"/>
            </w:tcBorders>
          </w:tcPr>
          <w:p w:rsidR="00E46CF0" w:rsidRPr="00AE0294" w:rsidRDefault="00E46CF0" w:rsidP="00E46CF0">
            <w:pPr>
              <w:tabs>
                <w:tab w:val="left" w:pos="1833"/>
              </w:tabs>
              <w:autoSpaceDE w:val="0"/>
              <w:autoSpaceDN w:val="0"/>
              <w:spacing w:after="0" w:line="360" w:lineRule="auto"/>
              <w:rPr>
                <w:rFonts w:cstheme="minorHAnsi"/>
                <w:b/>
                <w:bCs/>
                <w:color w:val="000000"/>
                <w:sz w:val="24"/>
                <w:szCs w:val="24"/>
                <w:u w:val="single"/>
              </w:rPr>
            </w:pPr>
            <w:r w:rsidRPr="00AE0294">
              <w:rPr>
                <w:rFonts w:cstheme="minorHAnsi"/>
                <w:b/>
                <w:bCs/>
                <w:color w:val="000000"/>
                <w:sz w:val="24"/>
                <w:szCs w:val="24"/>
                <w:u w:val="single"/>
              </w:rPr>
              <w:t>For FY 2014-15</w:t>
            </w:r>
          </w:p>
          <w:p w:rsidR="00C6492A" w:rsidRPr="00AE0294" w:rsidRDefault="00C6492A" w:rsidP="00BC3A95">
            <w:pPr>
              <w:pStyle w:val="ListParagraph"/>
              <w:numPr>
                <w:ilvl w:val="0"/>
                <w:numId w:val="16"/>
              </w:numPr>
              <w:tabs>
                <w:tab w:val="left" w:pos="1833"/>
              </w:tabs>
              <w:autoSpaceDE w:val="0"/>
              <w:autoSpaceDN w:val="0"/>
              <w:spacing w:line="360" w:lineRule="auto"/>
              <w:ind w:left="405"/>
              <w:rPr>
                <w:rFonts w:asciiTheme="minorHAnsi" w:hAnsiTheme="minorHAnsi" w:cstheme="minorHAnsi"/>
                <w:bCs/>
                <w:color w:val="000000"/>
              </w:rPr>
            </w:pPr>
            <w:r w:rsidRPr="00AE0294">
              <w:rPr>
                <w:rFonts w:asciiTheme="minorHAnsi" w:hAnsiTheme="minorHAnsi" w:cstheme="minorHAnsi"/>
                <w:bCs/>
                <w:color w:val="000000"/>
              </w:rPr>
              <w:t>Hon’ble Commission vide its</w:t>
            </w:r>
            <w:r w:rsidR="002447A3" w:rsidRPr="00AE0294">
              <w:rPr>
                <w:rFonts w:asciiTheme="minorHAnsi" w:hAnsiTheme="minorHAnsi" w:cstheme="minorHAnsi"/>
                <w:bCs/>
                <w:color w:val="000000"/>
              </w:rPr>
              <w:t xml:space="preserve"> Tariff</w:t>
            </w:r>
            <w:r w:rsidRPr="00AE0294">
              <w:rPr>
                <w:rFonts w:asciiTheme="minorHAnsi" w:hAnsiTheme="minorHAnsi" w:cstheme="minorHAnsi"/>
                <w:bCs/>
                <w:color w:val="000000"/>
              </w:rPr>
              <w:t xml:space="preserve"> Order dated 23.07.2014 (</w:t>
            </w:r>
            <w:r w:rsidR="008246B0" w:rsidRPr="00AE0294">
              <w:rPr>
                <w:rFonts w:asciiTheme="minorHAnsi" w:hAnsiTheme="minorHAnsi" w:cstheme="minorHAnsi"/>
                <w:bCs/>
                <w:color w:val="000000"/>
              </w:rPr>
              <w:t xml:space="preserve">Para </w:t>
            </w:r>
            <w:r w:rsidRPr="00AE0294">
              <w:rPr>
                <w:rFonts w:asciiTheme="minorHAnsi" w:hAnsiTheme="minorHAnsi" w:cstheme="minorHAnsi"/>
                <w:bCs/>
                <w:color w:val="000000"/>
              </w:rPr>
              <w:t xml:space="preserve"> 4.1</w:t>
            </w:r>
            <w:r w:rsidR="008246B0" w:rsidRPr="00AE0294">
              <w:rPr>
                <w:rFonts w:asciiTheme="minorHAnsi" w:hAnsiTheme="minorHAnsi" w:cstheme="minorHAnsi"/>
                <w:bCs/>
                <w:color w:val="000000"/>
              </w:rPr>
              <w:t>67</w:t>
            </w:r>
            <w:r w:rsidRPr="00AE0294">
              <w:rPr>
                <w:rFonts w:asciiTheme="minorHAnsi" w:hAnsiTheme="minorHAnsi" w:cstheme="minorHAnsi"/>
                <w:bCs/>
                <w:color w:val="000000"/>
              </w:rPr>
              <w:t>, Table 4.</w:t>
            </w:r>
            <w:r w:rsidR="008246B0" w:rsidRPr="00AE0294">
              <w:rPr>
                <w:rFonts w:asciiTheme="minorHAnsi" w:hAnsiTheme="minorHAnsi" w:cstheme="minorHAnsi"/>
                <w:bCs/>
                <w:color w:val="000000"/>
              </w:rPr>
              <w:t>59 at Sl. No. K</w:t>
            </w:r>
            <w:r w:rsidRPr="00AE0294">
              <w:rPr>
                <w:rFonts w:asciiTheme="minorHAnsi" w:hAnsiTheme="minorHAnsi" w:cstheme="minorHAnsi"/>
                <w:bCs/>
                <w:color w:val="000000"/>
              </w:rPr>
              <w:t xml:space="preserve">) </w:t>
            </w:r>
            <w:r w:rsidRPr="00AE0294">
              <w:rPr>
                <w:rFonts w:asciiTheme="minorHAnsi" w:hAnsiTheme="minorHAnsi" w:cstheme="minorHAnsi"/>
                <w:bCs/>
                <w:iCs/>
                <w:color w:val="000000"/>
                <w:lang w:val="en-US"/>
              </w:rPr>
              <w:t xml:space="preserve">has </w:t>
            </w:r>
            <w:r w:rsidR="00E46CF0" w:rsidRPr="00AE0294">
              <w:rPr>
                <w:rFonts w:asciiTheme="minorHAnsi" w:hAnsiTheme="minorHAnsi" w:cstheme="minorHAnsi"/>
                <w:b/>
                <w:bCs/>
                <w:iCs/>
                <w:color w:val="000000"/>
                <w:u w:val="single"/>
                <w:lang w:val="en-US"/>
              </w:rPr>
              <w:t xml:space="preserve">included </w:t>
            </w:r>
            <w:r w:rsidRPr="00AE0294">
              <w:rPr>
                <w:rFonts w:asciiTheme="minorHAnsi" w:hAnsiTheme="minorHAnsi" w:cstheme="minorHAnsi"/>
                <w:b/>
                <w:bCs/>
                <w:iCs/>
                <w:color w:val="000000"/>
                <w:u w:val="single"/>
                <w:lang w:val="en-US"/>
              </w:rPr>
              <w:t xml:space="preserve">carrying cost </w:t>
            </w:r>
            <w:r w:rsidR="008246B0" w:rsidRPr="00AE0294">
              <w:rPr>
                <w:rFonts w:asciiTheme="minorHAnsi" w:hAnsiTheme="minorHAnsi" w:cstheme="minorHAnsi"/>
                <w:b/>
                <w:bCs/>
                <w:iCs/>
                <w:color w:val="000000"/>
                <w:u w:val="single"/>
                <w:lang w:val="en-US"/>
              </w:rPr>
              <w:t xml:space="preserve">as an expense </w:t>
            </w:r>
            <w:r w:rsidR="00E46CF0" w:rsidRPr="00AE0294">
              <w:rPr>
                <w:rFonts w:asciiTheme="minorHAnsi" w:hAnsiTheme="minorHAnsi" w:cstheme="minorHAnsi"/>
                <w:b/>
                <w:bCs/>
                <w:iCs/>
                <w:color w:val="000000"/>
                <w:u w:val="single"/>
                <w:lang w:val="en-US"/>
              </w:rPr>
              <w:t>while projecting</w:t>
            </w:r>
            <w:r w:rsidRPr="00AE0294">
              <w:rPr>
                <w:rFonts w:asciiTheme="minorHAnsi" w:hAnsiTheme="minorHAnsi" w:cstheme="minorHAnsi"/>
                <w:b/>
                <w:bCs/>
                <w:iCs/>
                <w:color w:val="000000"/>
                <w:u w:val="single"/>
                <w:lang w:val="en-US"/>
              </w:rPr>
              <w:t xml:space="preserve"> </w:t>
            </w:r>
            <w:r w:rsidR="00E46CF0" w:rsidRPr="00AE0294">
              <w:rPr>
                <w:rFonts w:asciiTheme="minorHAnsi" w:hAnsiTheme="minorHAnsi" w:cstheme="minorHAnsi"/>
                <w:b/>
                <w:bCs/>
                <w:iCs/>
                <w:color w:val="000000"/>
                <w:u w:val="single"/>
                <w:lang w:val="en-US"/>
              </w:rPr>
              <w:t xml:space="preserve">the </w:t>
            </w:r>
            <w:r w:rsidRPr="00AE0294">
              <w:rPr>
                <w:rFonts w:asciiTheme="minorHAnsi" w:hAnsiTheme="minorHAnsi" w:cstheme="minorHAnsi"/>
                <w:b/>
                <w:bCs/>
                <w:iCs/>
                <w:color w:val="000000"/>
                <w:u w:val="single"/>
                <w:lang w:val="en-US"/>
              </w:rPr>
              <w:t>ARR</w:t>
            </w:r>
            <w:r w:rsidR="00E46CF0" w:rsidRPr="00AE0294">
              <w:rPr>
                <w:rFonts w:asciiTheme="minorHAnsi" w:hAnsiTheme="minorHAnsi" w:cstheme="minorHAnsi"/>
                <w:b/>
                <w:bCs/>
                <w:iCs/>
                <w:color w:val="000000"/>
                <w:u w:val="single"/>
                <w:lang w:val="en-US"/>
              </w:rPr>
              <w:t>.</w:t>
            </w:r>
          </w:p>
          <w:p w:rsidR="007819C3" w:rsidRPr="00AE0294" w:rsidRDefault="007819C3" w:rsidP="00E46CF0">
            <w:pPr>
              <w:tabs>
                <w:tab w:val="left" w:pos="1833"/>
              </w:tabs>
              <w:autoSpaceDE w:val="0"/>
              <w:autoSpaceDN w:val="0"/>
              <w:spacing w:after="0" w:line="360" w:lineRule="auto"/>
              <w:rPr>
                <w:rFonts w:cstheme="minorHAnsi"/>
                <w:b/>
                <w:bCs/>
                <w:color w:val="000000"/>
                <w:sz w:val="24"/>
                <w:szCs w:val="24"/>
                <w:u w:val="single"/>
              </w:rPr>
            </w:pPr>
          </w:p>
          <w:p w:rsidR="007819C3" w:rsidRPr="00AE0294" w:rsidRDefault="007819C3" w:rsidP="00E46CF0">
            <w:pPr>
              <w:tabs>
                <w:tab w:val="left" w:pos="1833"/>
              </w:tabs>
              <w:autoSpaceDE w:val="0"/>
              <w:autoSpaceDN w:val="0"/>
              <w:spacing w:after="0" w:line="360" w:lineRule="auto"/>
              <w:rPr>
                <w:rFonts w:cstheme="minorHAnsi"/>
                <w:b/>
                <w:bCs/>
                <w:color w:val="000000"/>
                <w:sz w:val="24"/>
                <w:szCs w:val="24"/>
                <w:u w:val="single"/>
              </w:rPr>
            </w:pPr>
          </w:p>
          <w:p w:rsidR="00E46CF0" w:rsidRPr="00AE0294" w:rsidRDefault="00E46CF0" w:rsidP="00E46CF0">
            <w:pPr>
              <w:tabs>
                <w:tab w:val="left" w:pos="1833"/>
              </w:tabs>
              <w:autoSpaceDE w:val="0"/>
              <w:autoSpaceDN w:val="0"/>
              <w:spacing w:after="0" w:line="360" w:lineRule="auto"/>
              <w:rPr>
                <w:rFonts w:cstheme="minorHAnsi"/>
                <w:b/>
                <w:bCs/>
                <w:color w:val="000000"/>
                <w:sz w:val="24"/>
                <w:szCs w:val="24"/>
                <w:u w:val="single"/>
              </w:rPr>
            </w:pPr>
            <w:r w:rsidRPr="00AE0294">
              <w:rPr>
                <w:rFonts w:cstheme="minorHAnsi"/>
                <w:b/>
                <w:bCs/>
                <w:color w:val="000000"/>
                <w:sz w:val="24"/>
                <w:szCs w:val="24"/>
                <w:u w:val="single"/>
              </w:rPr>
              <w:t>For FY 2015-16</w:t>
            </w:r>
          </w:p>
          <w:p w:rsidR="00E46CF0" w:rsidRPr="00AE0294" w:rsidRDefault="00E46CF0" w:rsidP="00BC3A95">
            <w:pPr>
              <w:pStyle w:val="ListParagraph"/>
              <w:numPr>
                <w:ilvl w:val="0"/>
                <w:numId w:val="16"/>
              </w:numPr>
              <w:tabs>
                <w:tab w:val="left" w:pos="1833"/>
              </w:tabs>
              <w:autoSpaceDE w:val="0"/>
              <w:autoSpaceDN w:val="0"/>
              <w:spacing w:line="360" w:lineRule="auto"/>
              <w:ind w:left="405"/>
              <w:rPr>
                <w:rFonts w:asciiTheme="minorHAnsi" w:hAnsiTheme="minorHAnsi" w:cstheme="minorHAnsi"/>
                <w:bCs/>
                <w:color w:val="000000"/>
              </w:rPr>
            </w:pPr>
            <w:r w:rsidRPr="00AE0294">
              <w:rPr>
                <w:rFonts w:asciiTheme="minorHAnsi" w:hAnsiTheme="minorHAnsi" w:cstheme="minorHAnsi"/>
                <w:bCs/>
                <w:color w:val="000000"/>
              </w:rPr>
              <w:t>Hon’ble Commission vide its Tariff Order dated 29.09.2015 (Para 4.16</w:t>
            </w:r>
            <w:r w:rsidR="008246B0" w:rsidRPr="00AE0294">
              <w:rPr>
                <w:rFonts w:asciiTheme="minorHAnsi" w:hAnsiTheme="minorHAnsi" w:cstheme="minorHAnsi"/>
                <w:bCs/>
                <w:color w:val="000000"/>
              </w:rPr>
              <w:t>1</w:t>
            </w:r>
            <w:r w:rsidRPr="00AE0294">
              <w:rPr>
                <w:rFonts w:asciiTheme="minorHAnsi" w:hAnsiTheme="minorHAnsi" w:cstheme="minorHAnsi"/>
                <w:bCs/>
                <w:color w:val="000000"/>
              </w:rPr>
              <w:t>, Table 4.62</w:t>
            </w:r>
            <w:r w:rsidR="008246B0" w:rsidRPr="00AE0294">
              <w:rPr>
                <w:rFonts w:asciiTheme="minorHAnsi" w:hAnsiTheme="minorHAnsi" w:cstheme="minorHAnsi"/>
                <w:bCs/>
                <w:color w:val="000000"/>
              </w:rPr>
              <w:t xml:space="preserve"> at Sl. No. E</w:t>
            </w:r>
            <w:r w:rsidRPr="00AE0294">
              <w:rPr>
                <w:rFonts w:asciiTheme="minorHAnsi" w:hAnsiTheme="minorHAnsi" w:cstheme="minorHAnsi"/>
                <w:bCs/>
                <w:color w:val="000000"/>
              </w:rPr>
              <w:t xml:space="preserve">) </w:t>
            </w:r>
            <w:r w:rsidRPr="00AE0294">
              <w:rPr>
                <w:rFonts w:asciiTheme="minorHAnsi" w:hAnsiTheme="minorHAnsi" w:cstheme="minorHAnsi"/>
                <w:bCs/>
                <w:iCs/>
                <w:color w:val="000000"/>
                <w:lang w:val="en-US"/>
              </w:rPr>
              <w:t xml:space="preserve">has </w:t>
            </w:r>
            <w:r w:rsidRPr="00AE0294">
              <w:rPr>
                <w:rFonts w:asciiTheme="minorHAnsi" w:hAnsiTheme="minorHAnsi" w:cstheme="minorHAnsi"/>
                <w:b/>
                <w:bCs/>
                <w:iCs/>
                <w:color w:val="000000"/>
                <w:u w:val="single"/>
                <w:lang w:val="en-US"/>
              </w:rPr>
              <w:lastRenderedPageBreak/>
              <w:t xml:space="preserve">included carrying cost </w:t>
            </w:r>
            <w:r w:rsidR="008246B0" w:rsidRPr="00AE0294">
              <w:rPr>
                <w:rFonts w:asciiTheme="minorHAnsi" w:hAnsiTheme="minorHAnsi" w:cstheme="minorHAnsi"/>
                <w:b/>
                <w:bCs/>
                <w:iCs/>
                <w:color w:val="000000"/>
                <w:u w:val="single"/>
                <w:lang w:val="en-US"/>
              </w:rPr>
              <w:t xml:space="preserve">as an expense </w:t>
            </w:r>
            <w:r w:rsidRPr="00AE0294">
              <w:rPr>
                <w:rFonts w:asciiTheme="minorHAnsi" w:hAnsiTheme="minorHAnsi" w:cstheme="minorHAnsi"/>
                <w:b/>
                <w:bCs/>
                <w:iCs/>
                <w:color w:val="000000"/>
                <w:u w:val="single"/>
                <w:lang w:val="en-US"/>
              </w:rPr>
              <w:t>while projecting the ARR.</w:t>
            </w:r>
          </w:p>
          <w:p w:rsidR="007819C3" w:rsidRPr="00AE0294" w:rsidRDefault="007819C3" w:rsidP="00E46CF0">
            <w:pPr>
              <w:tabs>
                <w:tab w:val="left" w:pos="1833"/>
              </w:tabs>
              <w:autoSpaceDE w:val="0"/>
              <w:autoSpaceDN w:val="0"/>
              <w:spacing w:after="0" w:line="360" w:lineRule="auto"/>
              <w:rPr>
                <w:rFonts w:cstheme="minorHAnsi"/>
                <w:b/>
                <w:bCs/>
                <w:color w:val="000000"/>
                <w:sz w:val="24"/>
                <w:szCs w:val="24"/>
                <w:u w:val="single"/>
              </w:rPr>
            </w:pPr>
          </w:p>
          <w:p w:rsidR="007819C3" w:rsidRPr="00AE0294" w:rsidRDefault="007819C3" w:rsidP="00E46CF0">
            <w:pPr>
              <w:tabs>
                <w:tab w:val="left" w:pos="1833"/>
              </w:tabs>
              <w:autoSpaceDE w:val="0"/>
              <w:autoSpaceDN w:val="0"/>
              <w:spacing w:after="0" w:line="360" w:lineRule="auto"/>
              <w:rPr>
                <w:rFonts w:cstheme="minorHAnsi"/>
                <w:b/>
                <w:bCs/>
                <w:color w:val="000000"/>
                <w:sz w:val="24"/>
                <w:szCs w:val="24"/>
                <w:u w:val="single"/>
              </w:rPr>
            </w:pPr>
          </w:p>
          <w:p w:rsidR="00282B78" w:rsidRPr="00AE0294" w:rsidRDefault="00282B78" w:rsidP="00E46CF0">
            <w:pPr>
              <w:tabs>
                <w:tab w:val="left" w:pos="1833"/>
              </w:tabs>
              <w:autoSpaceDE w:val="0"/>
              <w:autoSpaceDN w:val="0"/>
              <w:spacing w:after="0" w:line="360" w:lineRule="auto"/>
              <w:rPr>
                <w:rFonts w:cstheme="minorHAnsi"/>
                <w:b/>
                <w:bCs/>
                <w:color w:val="000000"/>
                <w:sz w:val="24"/>
                <w:szCs w:val="24"/>
                <w:u w:val="single"/>
              </w:rPr>
            </w:pPr>
            <w:r w:rsidRPr="00AE0294">
              <w:rPr>
                <w:rFonts w:cstheme="minorHAnsi"/>
                <w:b/>
                <w:bCs/>
                <w:color w:val="000000"/>
                <w:sz w:val="24"/>
                <w:szCs w:val="24"/>
                <w:u w:val="single"/>
              </w:rPr>
              <w:t>For FY 2016-17</w:t>
            </w:r>
          </w:p>
          <w:p w:rsidR="00282B78" w:rsidRPr="00AE0294" w:rsidRDefault="00282B78" w:rsidP="00BC3A95">
            <w:pPr>
              <w:pStyle w:val="ListParagraph"/>
              <w:numPr>
                <w:ilvl w:val="0"/>
                <w:numId w:val="16"/>
              </w:numPr>
              <w:tabs>
                <w:tab w:val="left" w:pos="1833"/>
              </w:tabs>
              <w:autoSpaceDE w:val="0"/>
              <w:autoSpaceDN w:val="0"/>
              <w:spacing w:line="360" w:lineRule="auto"/>
              <w:ind w:left="405"/>
              <w:rPr>
                <w:rFonts w:asciiTheme="minorHAnsi" w:hAnsiTheme="minorHAnsi" w:cstheme="minorHAnsi"/>
                <w:b/>
                <w:bCs/>
                <w:color w:val="000000"/>
                <w:u w:val="single"/>
              </w:rPr>
            </w:pPr>
            <w:r w:rsidRPr="00AE0294">
              <w:rPr>
                <w:rFonts w:asciiTheme="minorHAnsi" w:hAnsiTheme="minorHAnsi" w:cstheme="minorHAnsi"/>
                <w:bCs/>
                <w:color w:val="000000"/>
              </w:rPr>
              <w:t>There was no Tariff Order for FY 2016-17. FY 2015-16 Tariff continued.</w:t>
            </w:r>
          </w:p>
          <w:p w:rsidR="007819C3" w:rsidRPr="00AE0294" w:rsidRDefault="007819C3" w:rsidP="00E46CF0">
            <w:pPr>
              <w:tabs>
                <w:tab w:val="left" w:pos="1833"/>
              </w:tabs>
              <w:autoSpaceDE w:val="0"/>
              <w:autoSpaceDN w:val="0"/>
              <w:spacing w:after="0" w:line="360" w:lineRule="auto"/>
              <w:rPr>
                <w:rFonts w:cstheme="minorHAnsi"/>
                <w:b/>
                <w:bCs/>
                <w:color w:val="000000"/>
                <w:sz w:val="24"/>
                <w:szCs w:val="24"/>
                <w:u w:val="single"/>
              </w:rPr>
            </w:pPr>
          </w:p>
          <w:p w:rsidR="007819C3" w:rsidRPr="00AE0294" w:rsidRDefault="007819C3" w:rsidP="00E46CF0">
            <w:pPr>
              <w:tabs>
                <w:tab w:val="left" w:pos="1833"/>
              </w:tabs>
              <w:autoSpaceDE w:val="0"/>
              <w:autoSpaceDN w:val="0"/>
              <w:spacing w:after="0" w:line="360" w:lineRule="auto"/>
              <w:rPr>
                <w:rFonts w:cstheme="minorHAnsi"/>
                <w:b/>
                <w:bCs/>
                <w:color w:val="000000"/>
                <w:sz w:val="24"/>
                <w:szCs w:val="24"/>
                <w:u w:val="single"/>
              </w:rPr>
            </w:pPr>
          </w:p>
          <w:p w:rsidR="007819C3" w:rsidRPr="00AE0294" w:rsidRDefault="007819C3" w:rsidP="00E46CF0">
            <w:pPr>
              <w:tabs>
                <w:tab w:val="left" w:pos="1833"/>
              </w:tabs>
              <w:autoSpaceDE w:val="0"/>
              <w:autoSpaceDN w:val="0"/>
              <w:spacing w:after="0" w:line="360" w:lineRule="auto"/>
              <w:rPr>
                <w:rFonts w:cstheme="minorHAnsi"/>
                <w:b/>
                <w:bCs/>
                <w:color w:val="000000"/>
                <w:sz w:val="24"/>
                <w:szCs w:val="24"/>
                <w:u w:val="single"/>
              </w:rPr>
            </w:pPr>
          </w:p>
          <w:p w:rsidR="007819C3" w:rsidRPr="00AE0294" w:rsidRDefault="007819C3" w:rsidP="00E46CF0">
            <w:pPr>
              <w:tabs>
                <w:tab w:val="left" w:pos="1833"/>
              </w:tabs>
              <w:autoSpaceDE w:val="0"/>
              <w:autoSpaceDN w:val="0"/>
              <w:spacing w:after="0" w:line="360" w:lineRule="auto"/>
              <w:rPr>
                <w:rFonts w:cstheme="minorHAnsi"/>
                <w:b/>
                <w:bCs/>
                <w:color w:val="000000"/>
                <w:sz w:val="24"/>
                <w:szCs w:val="24"/>
                <w:u w:val="single"/>
              </w:rPr>
            </w:pPr>
          </w:p>
          <w:p w:rsidR="00E46CF0" w:rsidRPr="00AE0294" w:rsidRDefault="00E46CF0" w:rsidP="00E46CF0">
            <w:pPr>
              <w:tabs>
                <w:tab w:val="left" w:pos="1833"/>
              </w:tabs>
              <w:autoSpaceDE w:val="0"/>
              <w:autoSpaceDN w:val="0"/>
              <w:spacing w:after="0" w:line="360" w:lineRule="auto"/>
              <w:rPr>
                <w:rFonts w:cstheme="minorHAnsi"/>
                <w:b/>
                <w:bCs/>
                <w:color w:val="000000"/>
                <w:sz w:val="24"/>
                <w:szCs w:val="24"/>
                <w:u w:val="single"/>
              </w:rPr>
            </w:pPr>
            <w:r w:rsidRPr="00AE0294">
              <w:rPr>
                <w:rFonts w:cstheme="minorHAnsi"/>
                <w:b/>
                <w:bCs/>
                <w:color w:val="000000"/>
                <w:sz w:val="24"/>
                <w:szCs w:val="24"/>
                <w:u w:val="single"/>
              </w:rPr>
              <w:t>For FY 2017-18</w:t>
            </w:r>
          </w:p>
          <w:p w:rsidR="00E46CF0" w:rsidRPr="00AE0294" w:rsidRDefault="00E46CF0" w:rsidP="00BC3A95">
            <w:pPr>
              <w:pStyle w:val="ListParagraph"/>
              <w:numPr>
                <w:ilvl w:val="0"/>
                <w:numId w:val="16"/>
              </w:numPr>
              <w:tabs>
                <w:tab w:val="left" w:pos="1833"/>
              </w:tabs>
              <w:autoSpaceDE w:val="0"/>
              <w:autoSpaceDN w:val="0"/>
              <w:spacing w:line="360" w:lineRule="auto"/>
              <w:ind w:left="405"/>
              <w:rPr>
                <w:rFonts w:asciiTheme="minorHAnsi" w:hAnsiTheme="minorHAnsi" w:cstheme="minorHAnsi"/>
                <w:bCs/>
                <w:color w:val="000000"/>
              </w:rPr>
            </w:pPr>
            <w:r w:rsidRPr="00AE0294">
              <w:rPr>
                <w:rFonts w:asciiTheme="minorHAnsi" w:hAnsiTheme="minorHAnsi" w:cstheme="minorHAnsi"/>
                <w:bCs/>
                <w:color w:val="000000"/>
              </w:rPr>
              <w:t xml:space="preserve">Hon’ble Commission vide its Tariff Order dated </w:t>
            </w:r>
            <w:r w:rsidR="008246B0" w:rsidRPr="00AE0294">
              <w:rPr>
                <w:rFonts w:asciiTheme="minorHAnsi" w:hAnsiTheme="minorHAnsi" w:cstheme="minorHAnsi"/>
                <w:bCs/>
                <w:color w:val="000000"/>
              </w:rPr>
              <w:t xml:space="preserve">31.08.2017 (Para 4.119, Table 224 at Row No. </w:t>
            </w:r>
            <w:r w:rsidR="00282B78" w:rsidRPr="00AE0294">
              <w:rPr>
                <w:rFonts w:asciiTheme="minorHAnsi" w:hAnsiTheme="minorHAnsi" w:cstheme="minorHAnsi"/>
                <w:bCs/>
                <w:color w:val="000000"/>
              </w:rPr>
              <w:t>7</w:t>
            </w:r>
            <w:r w:rsidR="008246B0" w:rsidRPr="00AE0294">
              <w:rPr>
                <w:rFonts w:asciiTheme="minorHAnsi" w:hAnsiTheme="minorHAnsi" w:cstheme="minorHAnsi"/>
                <w:bCs/>
                <w:color w:val="000000"/>
              </w:rPr>
              <w:t xml:space="preserve">) </w:t>
            </w:r>
            <w:r w:rsidRPr="00AE0294">
              <w:rPr>
                <w:rFonts w:asciiTheme="minorHAnsi" w:hAnsiTheme="minorHAnsi" w:cstheme="minorHAnsi"/>
                <w:bCs/>
                <w:iCs/>
                <w:color w:val="000000"/>
                <w:lang w:val="en-US"/>
              </w:rPr>
              <w:t xml:space="preserve">has </w:t>
            </w:r>
            <w:r w:rsidRPr="00AE0294">
              <w:rPr>
                <w:rFonts w:asciiTheme="minorHAnsi" w:hAnsiTheme="minorHAnsi" w:cstheme="minorHAnsi"/>
                <w:b/>
                <w:bCs/>
                <w:iCs/>
                <w:color w:val="000000"/>
                <w:u w:val="single"/>
                <w:lang w:val="en-US"/>
              </w:rPr>
              <w:t>included carrying cost</w:t>
            </w:r>
            <w:r w:rsidR="008246B0" w:rsidRPr="00AE0294">
              <w:rPr>
                <w:rFonts w:asciiTheme="minorHAnsi" w:hAnsiTheme="minorHAnsi" w:cstheme="minorHAnsi"/>
                <w:b/>
                <w:bCs/>
                <w:iCs/>
                <w:color w:val="000000"/>
                <w:u w:val="single"/>
                <w:lang w:val="en-US"/>
              </w:rPr>
              <w:t xml:space="preserve"> as an expense </w:t>
            </w:r>
            <w:r w:rsidRPr="00AE0294">
              <w:rPr>
                <w:rFonts w:asciiTheme="minorHAnsi" w:hAnsiTheme="minorHAnsi" w:cstheme="minorHAnsi"/>
                <w:b/>
                <w:bCs/>
                <w:iCs/>
                <w:color w:val="000000"/>
                <w:u w:val="single"/>
                <w:lang w:val="en-US"/>
              </w:rPr>
              <w:t>while projecting the ARR.</w:t>
            </w:r>
          </w:p>
          <w:p w:rsidR="007819C3" w:rsidRPr="00AE0294" w:rsidRDefault="007819C3" w:rsidP="00E46CF0">
            <w:pPr>
              <w:tabs>
                <w:tab w:val="left" w:pos="1833"/>
              </w:tabs>
              <w:autoSpaceDE w:val="0"/>
              <w:autoSpaceDN w:val="0"/>
              <w:spacing w:after="0" w:line="360" w:lineRule="auto"/>
              <w:rPr>
                <w:rFonts w:cstheme="minorHAnsi"/>
                <w:b/>
                <w:bCs/>
                <w:color w:val="000000"/>
                <w:sz w:val="24"/>
                <w:szCs w:val="24"/>
                <w:u w:val="single"/>
              </w:rPr>
            </w:pPr>
          </w:p>
          <w:p w:rsidR="007819C3" w:rsidRPr="00AE0294" w:rsidRDefault="007819C3" w:rsidP="00E46CF0">
            <w:pPr>
              <w:tabs>
                <w:tab w:val="left" w:pos="1833"/>
              </w:tabs>
              <w:autoSpaceDE w:val="0"/>
              <w:autoSpaceDN w:val="0"/>
              <w:spacing w:after="0" w:line="360" w:lineRule="auto"/>
              <w:rPr>
                <w:rFonts w:cstheme="minorHAnsi"/>
                <w:b/>
                <w:bCs/>
                <w:color w:val="000000"/>
                <w:sz w:val="24"/>
                <w:szCs w:val="24"/>
                <w:u w:val="single"/>
              </w:rPr>
            </w:pPr>
          </w:p>
          <w:p w:rsidR="00E46CF0" w:rsidRPr="00AE0294" w:rsidRDefault="00E46CF0" w:rsidP="00E46CF0">
            <w:pPr>
              <w:tabs>
                <w:tab w:val="left" w:pos="1833"/>
              </w:tabs>
              <w:autoSpaceDE w:val="0"/>
              <w:autoSpaceDN w:val="0"/>
              <w:spacing w:after="0" w:line="360" w:lineRule="auto"/>
              <w:rPr>
                <w:rFonts w:cstheme="minorHAnsi"/>
                <w:b/>
                <w:bCs/>
                <w:color w:val="000000"/>
                <w:sz w:val="24"/>
                <w:szCs w:val="24"/>
                <w:u w:val="single"/>
              </w:rPr>
            </w:pPr>
            <w:r w:rsidRPr="00AE0294">
              <w:rPr>
                <w:rFonts w:cstheme="minorHAnsi"/>
                <w:b/>
                <w:bCs/>
                <w:color w:val="000000"/>
                <w:sz w:val="24"/>
                <w:szCs w:val="24"/>
                <w:u w:val="single"/>
              </w:rPr>
              <w:t>For FY 2018-19</w:t>
            </w:r>
          </w:p>
          <w:p w:rsidR="00E46CF0" w:rsidRPr="00AE0294" w:rsidRDefault="00E46CF0" w:rsidP="00BC3A95">
            <w:pPr>
              <w:pStyle w:val="ListParagraph"/>
              <w:numPr>
                <w:ilvl w:val="0"/>
                <w:numId w:val="16"/>
              </w:numPr>
              <w:tabs>
                <w:tab w:val="left" w:pos="1833"/>
              </w:tabs>
              <w:autoSpaceDE w:val="0"/>
              <w:autoSpaceDN w:val="0"/>
              <w:spacing w:line="360" w:lineRule="auto"/>
              <w:ind w:left="405"/>
              <w:rPr>
                <w:rFonts w:asciiTheme="minorHAnsi" w:hAnsiTheme="minorHAnsi" w:cstheme="minorHAnsi"/>
                <w:bCs/>
                <w:color w:val="000000"/>
              </w:rPr>
            </w:pPr>
            <w:r w:rsidRPr="00AE0294">
              <w:rPr>
                <w:rFonts w:asciiTheme="minorHAnsi" w:hAnsiTheme="minorHAnsi" w:cstheme="minorHAnsi"/>
                <w:bCs/>
                <w:color w:val="000000"/>
              </w:rPr>
              <w:t xml:space="preserve">Hon’ble Commission vide its Tariff Order dated </w:t>
            </w:r>
            <w:r w:rsidR="008246B0" w:rsidRPr="00AE0294">
              <w:rPr>
                <w:rFonts w:asciiTheme="minorHAnsi" w:hAnsiTheme="minorHAnsi" w:cstheme="minorHAnsi"/>
                <w:bCs/>
                <w:color w:val="000000"/>
              </w:rPr>
              <w:t xml:space="preserve">28.03.2018 (Para 4.116, Table 216 at Row No. 7) </w:t>
            </w:r>
            <w:r w:rsidRPr="00AE0294">
              <w:rPr>
                <w:rFonts w:asciiTheme="minorHAnsi" w:hAnsiTheme="minorHAnsi" w:cstheme="minorHAnsi"/>
                <w:bCs/>
                <w:color w:val="000000"/>
              </w:rPr>
              <w:t xml:space="preserve"> </w:t>
            </w:r>
            <w:r w:rsidRPr="00AE0294">
              <w:rPr>
                <w:rFonts w:asciiTheme="minorHAnsi" w:hAnsiTheme="minorHAnsi" w:cstheme="minorHAnsi"/>
                <w:bCs/>
                <w:iCs/>
                <w:color w:val="000000"/>
                <w:lang w:val="en-US"/>
              </w:rPr>
              <w:t xml:space="preserve">has </w:t>
            </w:r>
            <w:r w:rsidRPr="00AE0294">
              <w:rPr>
                <w:rFonts w:asciiTheme="minorHAnsi" w:hAnsiTheme="minorHAnsi" w:cstheme="minorHAnsi"/>
                <w:b/>
                <w:bCs/>
                <w:iCs/>
                <w:color w:val="000000"/>
                <w:u w:val="single"/>
                <w:lang w:val="en-US"/>
              </w:rPr>
              <w:t xml:space="preserve">included carrying cost </w:t>
            </w:r>
            <w:r w:rsidR="008246B0" w:rsidRPr="00AE0294">
              <w:rPr>
                <w:rFonts w:asciiTheme="minorHAnsi" w:hAnsiTheme="minorHAnsi" w:cstheme="minorHAnsi"/>
                <w:b/>
                <w:bCs/>
                <w:iCs/>
                <w:color w:val="000000"/>
                <w:u w:val="single"/>
                <w:lang w:val="en-US"/>
              </w:rPr>
              <w:t xml:space="preserve">as an expense </w:t>
            </w:r>
            <w:r w:rsidRPr="00AE0294">
              <w:rPr>
                <w:rFonts w:asciiTheme="minorHAnsi" w:hAnsiTheme="minorHAnsi" w:cstheme="minorHAnsi"/>
                <w:b/>
                <w:bCs/>
                <w:iCs/>
                <w:color w:val="000000"/>
                <w:u w:val="single"/>
                <w:lang w:val="en-US"/>
              </w:rPr>
              <w:t>while projecting the ARR.</w:t>
            </w:r>
          </w:p>
          <w:p w:rsidR="007819C3" w:rsidRPr="00AE0294" w:rsidRDefault="007819C3" w:rsidP="00E46CF0">
            <w:pPr>
              <w:tabs>
                <w:tab w:val="left" w:pos="1833"/>
              </w:tabs>
              <w:autoSpaceDE w:val="0"/>
              <w:autoSpaceDN w:val="0"/>
              <w:spacing w:after="0" w:line="360" w:lineRule="auto"/>
              <w:rPr>
                <w:rFonts w:cstheme="minorHAnsi"/>
                <w:b/>
                <w:bCs/>
                <w:color w:val="000000"/>
                <w:sz w:val="24"/>
                <w:szCs w:val="24"/>
                <w:u w:val="single"/>
              </w:rPr>
            </w:pPr>
          </w:p>
          <w:p w:rsidR="007819C3" w:rsidRPr="00AE0294" w:rsidRDefault="007819C3" w:rsidP="00E46CF0">
            <w:pPr>
              <w:tabs>
                <w:tab w:val="left" w:pos="1833"/>
              </w:tabs>
              <w:autoSpaceDE w:val="0"/>
              <w:autoSpaceDN w:val="0"/>
              <w:spacing w:after="0" w:line="360" w:lineRule="auto"/>
              <w:rPr>
                <w:rFonts w:cstheme="minorHAnsi"/>
                <w:b/>
                <w:bCs/>
                <w:color w:val="000000"/>
                <w:sz w:val="24"/>
                <w:szCs w:val="24"/>
                <w:u w:val="single"/>
              </w:rPr>
            </w:pPr>
          </w:p>
          <w:p w:rsidR="00E46CF0" w:rsidRPr="00AE0294" w:rsidRDefault="00E46CF0" w:rsidP="00E46CF0">
            <w:pPr>
              <w:tabs>
                <w:tab w:val="left" w:pos="1833"/>
              </w:tabs>
              <w:autoSpaceDE w:val="0"/>
              <w:autoSpaceDN w:val="0"/>
              <w:spacing w:after="0" w:line="360" w:lineRule="auto"/>
              <w:rPr>
                <w:rFonts w:cstheme="minorHAnsi"/>
                <w:b/>
                <w:bCs/>
                <w:color w:val="000000"/>
                <w:sz w:val="24"/>
                <w:szCs w:val="24"/>
                <w:u w:val="single"/>
              </w:rPr>
            </w:pPr>
            <w:r w:rsidRPr="00AE0294">
              <w:rPr>
                <w:rFonts w:cstheme="minorHAnsi"/>
                <w:b/>
                <w:bCs/>
                <w:color w:val="000000"/>
                <w:sz w:val="24"/>
                <w:szCs w:val="24"/>
                <w:u w:val="single"/>
              </w:rPr>
              <w:t>For FY 2019-20</w:t>
            </w:r>
          </w:p>
          <w:p w:rsidR="00E46CF0" w:rsidRPr="00AE0294" w:rsidRDefault="00E46CF0" w:rsidP="00BC3A95">
            <w:pPr>
              <w:pStyle w:val="ListParagraph"/>
              <w:numPr>
                <w:ilvl w:val="0"/>
                <w:numId w:val="16"/>
              </w:numPr>
              <w:tabs>
                <w:tab w:val="left" w:pos="1833"/>
              </w:tabs>
              <w:autoSpaceDE w:val="0"/>
              <w:autoSpaceDN w:val="0"/>
              <w:spacing w:line="360" w:lineRule="auto"/>
              <w:ind w:left="405"/>
              <w:rPr>
                <w:rFonts w:asciiTheme="minorHAnsi" w:hAnsiTheme="minorHAnsi" w:cstheme="minorHAnsi"/>
                <w:bCs/>
                <w:color w:val="000000"/>
              </w:rPr>
            </w:pPr>
            <w:r w:rsidRPr="00AE0294">
              <w:rPr>
                <w:rFonts w:asciiTheme="minorHAnsi" w:hAnsiTheme="minorHAnsi" w:cstheme="minorHAnsi"/>
                <w:bCs/>
                <w:color w:val="000000"/>
              </w:rPr>
              <w:t>Hon’ble Commission vide its Tariff Order dated 31.07.2019  (Para 4.1</w:t>
            </w:r>
            <w:r w:rsidR="00282B78" w:rsidRPr="00AE0294">
              <w:rPr>
                <w:rFonts w:asciiTheme="minorHAnsi" w:hAnsiTheme="minorHAnsi" w:cstheme="minorHAnsi"/>
                <w:bCs/>
                <w:color w:val="000000"/>
              </w:rPr>
              <w:t>57</w:t>
            </w:r>
            <w:r w:rsidRPr="00AE0294">
              <w:rPr>
                <w:rFonts w:asciiTheme="minorHAnsi" w:hAnsiTheme="minorHAnsi" w:cstheme="minorHAnsi"/>
                <w:bCs/>
                <w:color w:val="000000"/>
              </w:rPr>
              <w:t>, Table 4.</w:t>
            </w:r>
            <w:r w:rsidR="00282B78" w:rsidRPr="00AE0294">
              <w:rPr>
                <w:rFonts w:asciiTheme="minorHAnsi" w:hAnsiTheme="minorHAnsi" w:cstheme="minorHAnsi"/>
                <w:bCs/>
                <w:color w:val="000000"/>
              </w:rPr>
              <w:t>60 at Sl. No. H</w:t>
            </w:r>
            <w:r w:rsidRPr="00AE0294">
              <w:rPr>
                <w:rFonts w:asciiTheme="minorHAnsi" w:hAnsiTheme="minorHAnsi" w:cstheme="minorHAnsi"/>
                <w:bCs/>
                <w:color w:val="000000"/>
              </w:rPr>
              <w:t xml:space="preserve">) </w:t>
            </w:r>
            <w:r w:rsidRPr="00AE0294">
              <w:rPr>
                <w:rFonts w:asciiTheme="minorHAnsi" w:hAnsiTheme="minorHAnsi" w:cstheme="minorHAnsi"/>
                <w:bCs/>
                <w:iCs/>
                <w:color w:val="000000"/>
                <w:lang w:val="en-US"/>
              </w:rPr>
              <w:t xml:space="preserve">has </w:t>
            </w:r>
            <w:r w:rsidRPr="00AE0294">
              <w:rPr>
                <w:rFonts w:asciiTheme="minorHAnsi" w:hAnsiTheme="minorHAnsi" w:cstheme="minorHAnsi"/>
                <w:b/>
                <w:bCs/>
                <w:iCs/>
                <w:color w:val="000000"/>
                <w:u w:val="single"/>
                <w:lang w:val="en-US"/>
              </w:rPr>
              <w:t xml:space="preserve">included carrying cost </w:t>
            </w:r>
            <w:r w:rsidR="008246B0" w:rsidRPr="00AE0294">
              <w:rPr>
                <w:rFonts w:asciiTheme="minorHAnsi" w:hAnsiTheme="minorHAnsi" w:cstheme="minorHAnsi"/>
                <w:b/>
                <w:bCs/>
                <w:iCs/>
                <w:color w:val="000000"/>
                <w:u w:val="single"/>
                <w:lang w:val="en-US"/>
              </w:rPr>
              <w:t xml:space="preserve">as an expense </w:t>
            </w:r>
            <w:r w:rsidRPr="00AE0294">
              <w:rPr>
                <w:rFonts w:asciiTheme="minorHAnsi" w:hAnsiTheme="minorHAnsi" w:cstheme="minorHAnsi"/>
                <w:b/>
                <w:bCs/>
                <w:iCs/>
                <w:color w:val="000000"/>
                <w:u w:val="single"/>
                <w:lang w:val="en-US"/>
              </w:rPr>
              <w:t>while projecting the ARR.</w:t>
            </w:r>
          </w:p>
        </w:tc>
        <w:tc>
          <w:tcPr>
            <w:tcW w:w="3969" w:type="dxa"/>
            <w:tcBorders>
              <w:top w:val="single" w:sz="6" w:space="0" w:color="000000"/>
              <w:left w:val="single" w:sz="6" w:space="0" w:color="000000"/>
              <w:bottom w:val="single" w:sz="6" w:space="0" w:color="000000"/>
              <w:right w:val="single" w:sz="6" w:space="0" w:color="000000"/>
            </w:tcBorders>
          </w:tcPr>
          <w:p w:rsidR="00282B78" w:rsidRPr="00AE0294" w:rsidRDefault="00282B78" w:rsidP="00282B78">
            <w:pPr>
              <w:tabs>
                <w:tab w:val="left" w:pos="1833"/>
              </w:tabs>
              <w:autoSpaceDE w:val="0"/>
              <w:autoSpaceDN w:val="0"/>
              <w:spacing w:after="0" w:line="360" w:lineRule="auto"/>
              <w:rPr>
                <w:rFonts w:cstheme="minorHAnsi"/>
                <w:b/>
                <w:bCs/>
                <w:color w:val="000000"/>
                <w:sz w:val="24"/>
                <w:szCs w:val="24"/>
                <w:u w:val="single"/>
              </w:rPr>
            </w:pPr>
            <w:r w:rsidRPr="00AE0294">
              <w:rPr>
                <w:rFonts w:cstheme="minorHAnsi"/>
                <w:b/>
                <w:bCs/>
                <w:color w:val="000000"/>
                <w:sz w:val="24"/>
                <w:szCs w:val="24"/>
                <w:u w:val="single"/>
              </w:rPr>
              <w:lastRenderedPageBreak/>
              <w:t>For FY 2014-15</w:t>
            </w:r>
            <w:r w:rsidR="00A72A9F" w:rsidRPr="00AE0294">
              <w:rPr>
                <w:rFonts w:cstheme="minorHAnsi"/>
                <w:b/>
                <w:bCs/>
                <w:color w:val="000000"/>
                <w:sz w:val="24"/>
                <w:szCs w:val="24"/>
                <w:u w:val="single"/>
              </w:rPr>
              <w:t xml:space="preserve"> </w:t>
            </w:r>
          </w:p>
          <w:p w:rsidR="00C6492A" w:rsidRPr="00AE0294" w:rsidRDefault="00C6492A" w:rsidP="00BC3A95">
            <w:pPr>
              <w:pStyle w:val="ListParagraph"/>
              <w:numPr>
                <w:ilvl w:val="0"/>
                <w:numId w:val="16"/>
              </w:numPr>
              <w:tabs>
                <w:tab w:val="left" w:pos="1833"/>
              </w:tabs>
              <w:autoSpaceDE w:val="0"/>
              <w:autoSpaceDN w:val="0"/>
              <w:spacing w:line="360" w:lineRule="auto"/>
              <w:ind w:left="405"/>
              <w:rPr>
                <w:rFonts w:asciiTheme="minorHAnsi" w:hAnsiTheme="minorHAnsi" w:cstheme="minorHAnsi"/>
                <w:bCs/>
                <w:color w:val="000000"/>
              </w:rPr>
            </w:pPr>
            <w:r w:rsidRPr="00AE0294">
              <w:rPr>
                <w:rFonts w:asciiTheme="minorHAnsi" w:hAnsiTheme="minorHAnsi" w:cstheme="minorHAnsi"/>
                <w:color w:val="000000"/>
              </w:rPr>
              <w:t>Hon’ble Commission in its Order dated 31.08.2017 (Para 3.6</w:t>
            </w:r>
            <w:r w:rsidR="00282B78" w:rsidRPr="00AE0294">
              <w:rPr>
                <w:rFonts w:asciiTheme="minorHAnsi" w:hAnsiTheme="minorHAnsi" w:cstheme="minorHAnsi"/>
                <w:color w:val="000000"/>
              </w:rPr>
              <w:t>0</w:t>
            </w:r>
            <w:r w:rsidRPr="00AE0294">
              <w:rPr>
                <w:rFonts w:asciiTheme="minorHAnsi" w:hAnsiTheme="minorHAnsi" w:cstheme="minorHAnsi"/>
                <w:color w:val="000000"/>
              </w:rPr>
              <w:t>0, Table 1</w:t>
            </w:r>
            <w:r w:rsidR="00282B78" w:rsidRPr="00AE0294">
              <w:rPr>
                <w:rFonts w:asciiTheme="minorHAnsi" w:hAnsiTheme="minorHAnsi" w:cstheme="minorHAnsi"/>
                <w:color w:val="000000"/>
              </w:rPr>
              <w:t>73</w:t>
            </w:r>
            <w:r w:rsidR="00A72A9F" w:rsidRPr="00AE0294">
              <w:rPr>
                <w:rFonts w:asciiTheme="minorHAnsi" w:hAnsiTheme="minorHAnsi" w:cstheme="minorHAnsi"/>
                <w:color w:val="000000"/>
              </w:rPr>
              <w:t>)</w:t>
            </w:r>
            <w:r w:rsidRPr="00AE0294">
              <w:rPr>
                <w:rFonts w:asciiTheme="minorHAnsi" w:hAnsiTheme="minorHAnsi" w:cstheme="minorHAnsi"/>
                <w:color w:val="000000"/>
              </w:rPr>
              <w:t xml:space="preserve"> </w:t>
            </w:r>
            <w:r w:rsidR="00AA7680" w:rsidRPr="00AE0294">
              <w:rPr>
                <w:rFonts w:asciiTheme="minorHAnsi" w:hAnsiTheme="minorHAnsi" w:cstheme="minorHAnsi"/>
                <w:b/>
                <w:color w:val="000000"/>
                <w:u w:val="single"/>
              </w:rPr>
              <w:t xml:space="preserve">has </w:t>
            </w:r>
            <w:r w:rsidR="00E46CF0" w:rsidRPr="00AE0294">
              <w:rPr>
                <w:rFonts w:asciiTheme="minorHAnsi" w:hAnsiTheme="minorHAnsi" w:cstheme="minorHAnsi"/>
                <w:b/>
                <w:color w:val="000000"/>
                <w:u w:val="single"/>
              </w:rPr>
              <w:t xml:space="preserve">not included </w:t>
            </w:r>
            <w:r w:rsidR="00E46CF0" w:rsidRPr="00AE0294">
              <w:rPr>
                <w:rFonts w:asciiTheme="minorHAnsi" w:hAnsiTheme="minorHAnsi" w:cstheme="minorHAnsi"/>
                <w:b/>
                <w:bCs/>
                <w:color w:val="000000"/>
                <w:u w:val="single"/>
              </w:rPr>
              <w:t xml:space="preserve">carrying cost as </w:t>
            </w:r>
            <w:r w:rsidR="008246B0" w:rsidRPr="00AE0294">
              <w:rPr>
                <w:rFonts w:asciiTheme="minorHAnsi" w:hAnsiTheme="minorHAnsi" w:cstheme="minorHAnsi"/>
                <w:b/>
                <w:bCs/>
                <w:color w:val="000000"/>
                <w:u w:val="single"/>
              </w:rPr>
              <w:t>an expense</w:t>
            </w:r>
            <w:r w:rsidR="00E46CF0" w:rsidRPr="00AE0294">
              <w:rPr>
                <w:rFonts w:asciiTheme="minorHAnsi" w:hAnsiTheme="minorHAnsi" w:cstheme="minorHAnsi"/>
                <w:b/>
                <w:bCs/>
                <w:color w:val="000000"/>
                <w:u w:val="single"/>
              </w:rPr>
              <w:t xml:space="preserve"> of </w:t>
            </w:r>
            <w:r w:rsidRPr="00AE0294">
              <w:rPr>
                <w:rFonts w:asciiTheme="minorHAnsi" w:hAnsiTheme="minorHAnsi" w:cstheme="minorHAnsi"/>
                <w:b/>
                <w:color w:val="000000"/>
                <w:u w:val="single"/>
              </w:rPr>
              <w:t>the ARR</w:t>
            </w:r>
            <w:r w:rsidR="00E46CF0" w:rsidRPr="00AE0294">
              <w:rPr>
                <w:rFonts w:asciiTheme="minorHAnsi" w:hAnsiTheme="minorHAnsi" w:cstheme="minorHAnsi"/>
                <w:b/>
                <w:color w:val="000000"/>
                <w:u w:val="single"/>
              </w:rPr>
              <w:t xml:space="preserve"> during the Truing-up excercise.</w:t>
            </w:r>
          </w:p>
          <w:p w:rsidR="007819C3" w:rsidRPr="00AE0294" w:rsidRDefault="007819C3" w:rsidP="00282B78">
            <w:pPr>
              <w:tabs>
                <w:tab w:val="left" w:pos="1833"/>
              </w:tabs>
              <w:autoSpaceDE w:val="0"/>
              <w:autoSpaceDN w:val="0"/>
              <w:spacing w:after="0" w:line="360" w:lineRule="auto"/>
              <w:rPr>
                <w:rFonts w:cstheme="minorHAnsi"/>
                <w:b/>
                <w:bCs/>
                <w:color w:val="000000"/>
                <w:sz w:val="24"/>
                <w:szCs w:val="24"/>
                <w:u w:val="single"/>
              </w:rPr>
            </w:pPr>
          </w:p>
          <w:p w:rsidR="00A72A9F" w:rsidRPr="00AE0294" w:rsidRDefault="00282B78" w:rsidP="00282B78">
            <w:pPr>
              <w:tabs>
                <w:tab w:val="left" w:pos="1833"/>
              </w:tabs>
              <w:autoSpaceDE w:val="0"/>
              <w:autoSpaceDN w:val="0"/>
              <w:spacing w:after="0" w:line="360" w:lineRule="auto"/>
              <w:rPr>
                <w:rFonts w:cstheme="minorHAnsi"/>
                <w:b/>
                <w:bCs/>
                <w:color w:val="000000"/>
                <w:sz w:val="24"/>
                <w:szCs w:val="24"/>
                <w:u w:val="single"/>
              </w:rPr>
            </w:pPr>
            <w:r w:rsidRPr="00AE0294">
              <w:rPr>
                <w:rFonts w:cstheme="minorHAnsi"/>
                <w:b/>
                <w:bCs/>
                <w:color w:val="000000"/>
                <w:sz w:val="24"/>
                <w:szCs w:val="24"/>
                <w:u w:val="single"/>
              </w:rPr>
              <w:t>For FY 201</w:t>
            </w:r>
            <w:r w:rsidR="00A72A9F" w:rsidRPr="00AE0294">
              <w:rPr>
                <w:rFonts w:cstheme="minorHAnsi"/>
                <w:b/>
                <w:bCs/>
                <w:color w:val="000000"/>
                <w:sz w:val="24"/>
                <w:szCs w:val="24"/>
                <w:u w:val="single"/>
              </w:rPr>
              <w:t>5</w:t>
            </w:r>
            <w:r w:rsidRPr="00AE0294">
              <w:rPr>
                <w:rFonts w:cstheme="minorHAnsi"/>
                <w:b/>
                <w:bCs/>
                <w:color w:val="000000"/>
                <w:sz w:val="24"/>
                <w:szCs w:val="24"/>
                <w:u w:val="single"/>
              </w:rPr>
              <w:t>-1</w:t>
            </w:r>
            <w:r w:rsidR="00A72A9F" w:rsidRPr="00AE0294">
              <w:rPr>
                <w:rFonts w:cstheme="minorHAnsi"/>
                <w:b/>
                <w:bCs/>
                <w:color w:val="000000"/>
                <w:sz w:val="24"/>
                <w:szCs w:val="24"/>
                <w:u w:val="single"/>
              </w:rPr>
              <w:t>6</w:t>
            </w:r>
          </w:p>
          <w:p w:rsidR="00A72A9F" w:rsidRPr="00AE0294" w:rsidRDefault="00A72A9F" w:rsidP="00BC3A95">
            <w:pPr>
              <w:pStyle w:val="ListParagraph"/>
              <w:numPr>
                <w:ilvl w:val="0"/>
                <w:numId w:val="16"/>
              </w:numPr>
              <w:tabs>
                <w:tab w:val="left" w:pos="1833"/>
              </w:tabs>
              <w:autoSpaceDE w:val="0"/>
              <w:autoSpaceDN w:val="0"/>
              <w:spacing w:line="360" w:lineRule="auto"/>
              <w:ind w:left="405"/>
              <w:rPr>
                <w:rFonts w:asciiTheme="minorHAnsi" w:hAnsiTheme="minorHAnsi" w:cstheme="minorHAnsi"/>
                <w:bCs/>
                <w:color w:val="000000"/>
              </w:rPr>
            </w:pPr>
            <w:r w:rsidRPr="00AE0294">
              <w:rPr>
                <w:rFonts w:asciiTheme="minorHAnsi" w:hAnsiTheme="minorHAnsi" w:cstheme="minorHAnsi"/>
                <w:color w:val="000000"/>
              </w:rPr>
              <w:t xml:space="preserve">Hon’ble Commission in its Order dated 31.08.2017 (Para 3.600, Table 174) </w:t>
            </w:r>
            <w:r w:rsidRPr="00AE0294">
              <w:rPr>
                <w:rFonts w:asciiTheme="minorHAnsi" w:hAnsiTheme="minorHAnsi" w:cstheme="minorHAnsi"/>
                <w:b/>
                <w:color w:val="000000"/>
                <w:u w:val="single"/>
              </w:rPr>
              <w:t xml:space="preserve">has not included </w:t>
            </w:r>
            <w:r w:rsidRPr="00AE0294">
              <w:rPr>
                <w:rFonts w:asciiTheme="minorHAnsi" w:hAnsiTheme="minorHAnsi" w:cstheme="minorHAnsi"/>
                <w:b/>
                <w:bCs/>
                <w:color w:val="000000"/>
                <w:u w:val="single"/>
              </w:rPr>
              <w:lastRenderedPageBreak/>
              <w:t xml:space="preserve">carrying cost as an expense of </w:t>
            </w:r>
            <w:r w:rsidRPr="00AE0294">
              <w:rPr>
                <w:rFonts w:asciiTheme="minorHAnsi" w:hAnsiTheme="minorHAnsi" w:cstheme="minorHAnsi"/>
                <w:b/>
                <w:color w:val="000000"/>
                <w:u w:val="single"/>
              </w:rPr>
              <w:t>the ARR during the Truing-up excercise.</w:t>
            </w:r>
          </w:p>
          <w:p w:rsidR="009249FD" w:rsidRPr="00AE0294" w:rsidRDefault="009249FD" w:rsidP="00A72A9F">
            <w:pPr>
              <w:tabs>
                <w:tab w:val="left" w:pos="1833"/>
              </w:tabs>
              <w:autoSpaceDE w:val="0"/>
              <w:autoSpaceDN w:val="0"/>
              <w:spacing w:after="0" w:line="360" w:lineRule="auto"/>
              <w:rPr>
                <w:rFonts w:cstheme="minorHAnsi"/>
                <w:b/>
                <w:bCs/>
                <w:color w:val="000000"/>
                <w:sz w:val="24"/>
                <w:szCs w:val="24"/>
                <w:u w:val="single"/>
              </w:rPr>
            </w:pPr>
          </w:p>
          <w:p w:rsidR="00A72A9F" w:rsidRPr="00AE0294" w:rsidRDefault="00A72A9F" w:rsidP="00A72A9F">
            <w:pPr>
              <w:tabs>
                <w:tab w:val="left" w:pos="1833"/>
              </w:tabs>
              <w:autoSpaceDE w:val="0"/>
              <w:autoSpaceDN w:val="0"/>
              <w:spacing w:after="0" w:line="360" w:lineRule="auto"/>
              <w:rPr>
                <w:rFonts w:cstheme="minorHAnsi"/>
                <w:b/>
                <w:bCs/>
                <w:color w:val="000000"/>
                <w:sz w:val="24"/>
                <w:szCs w:val="24"/>
                <w:u w:val="single"/>
              </w:rPr>
            </w:pPr>
            <w:r w:rsidRPr="00AE0294">
              <w:rPr>
                <w:rFonts w:cstheme="minorHAnsi"/>
                <w:b/>
                <w:bCs/>
                <w:color w:val="000000"/>
                <w:sz w:val="24"/>
                <w:szCs w:val="24"/>
                <w:u w:val="single"/>
              </w:rPr>
              <w:t>For FY 2016-17</w:t>
            </w:r>
          </w:p>
          <w:p w:rsidR="007819C3" w:rsidRPr="00AE0294" w:rsidRDefault="00A72A9F" w:rsidP="00BC3A95">
            <w:pPr>
              <w:pStyle w:val="ListParagraph"/>
              <w:numPr>
                <w:ilvl w:val="0"/>
                <w:numId w:val="16"/>
              </w:numPr>
              <w:tabs>
                <w:tab w:val="left" w:pos="1833"/>
              </w:tabs>
              <w:autoSpaceDE w:val="0"/>
              <w:autoSpaceDN w:val="0"/>
              <w:spacing w:line="360" w:lineRule="auto"/>
              <w:ind w:left="405"/>
              <w:rPr>
                <w:rFonts w:asciiTheme="minorHAnsi" w:hAnsiTheme="minorHAnsi" w:cstheme="minorHAnsi"/>
                <w:bCs/>
                <w:color w:val="000000"/>
              </w:rPr>
            </w:pPr>
            <w:r w:rsidRPr="00AE0294">
              <w:rPr>
                <w:rFonts w:asciiTheme="minorHAnsi" w:hAnsiTheme="minorHAnsi" w:cstheme="minorHAnsi"/>
                <w:color w:val="000000"/>
              </w:rPr>
              <w:t xml:space="preserve">Hon’ble Commission in its Order dated Order dated 28.03.2018 (Para 3.473, Table 160) </w:t>
            </w:r>
            <w:r w:rsidRPr="00AE0294">
              <w:rPr>
                <w:rFonts w:asciiTheme="minorHAnsi" w:hAnsiTheme="minorHAnsi" w:cstheme="minorHAnsi"/>
                <w:b/>
                <w:color w:val="000000"/>
                <w:u w:val="single"/>
              </w:rPr>
              <w:t xml:space="preserve">has not included </w:t>
            </w:r>
            <w:r w:rsidRPr="00AE0294">
              <w:rPr>
                <w:rFonts w:asciiTheme="minorHAnsi" w:hAnsiTheme="minorHAnsi" w:cstheme="minorHAnsi"/>
                <w:b/>
                <w:bCs/>
                <w:color w:val="000000"/>
                <w:u w:val="single"/>
              </w:rPr>
              <w:t xml:space="preserve">carrying cost as an expense of </w:t>
            </w:r>
            <w:r w:rsidRPr="00AE0294">
              <w:rPr>
                <w:rFonts w:asciiTheme="minorHAnsi" w:hAnsiTheme="minorHAnsi" w:cstheme="minorHAnsi"/>
                <w:b/>
                <w:color w:val="000000"/>
                <w:u w:val="single"/>
              </w:rPr>
              <w:t>the ARR during the Truing-up excercise.</w:t>
            </w:r>
          </w:p>
          <w:p w:rsidR="009249FD" w:rsidRPr="00AE0294" w:rsidRDefault="009249FD" w:rsidP="00A72A9F">
            <w:pPr>
              <w:tabs>
                <w:tab w:val="left" w:pos="1833"/>
              </w:tabs>
              <w:autoSpaceDE w:val="0"/>
              <w:autoSpaceDN w:val="0"/>
              <w:spacing w:after="0" w:line="360" w:lineRule="auto"/>
              <w:rPr>
                <w:rFonts w:cstheme="minorHAnsi"/>
                <w:b/>
                <w:bCs/>
                <w:color w:val="000000"/>
                <w:sz w:val="24"/>
                <w:szCs w:val="24"/>
                <w:u w:val="single"/>
              </w:rPr>
            </w:pPr>
          </w:p>
          <w:p w:rsidR="00A72A9F" w:rsidRPr="00AE0294" w:rsidRDefault="00A72A9F" w:rsidP="00A72A9F">
            <w:pPr>
              <w:tabs>
                <w:tab w:val="left" w:pos="1833"/>
              </w:tabs>
              <w:autoSpaceDE w:val="0"/>
              <w:autoSpaceDN w:val="0"/>
              <w:spacing w:after="0" w:line="360" w:lineRule="auto"/>
              <w:rPr>
                <w:rFonts w:cstheme="minorHAnsi"/>
                <w:b/>
                <w:bCs/>
                <w:color w:val="000000"/>
                <w:sz w:val="24"/>
                <w:szCs w:val="24"/>
                <w:u w:val="single"/>
              </w:rPr>
            </w:pPr>
            <w:r w:rsidRPr="00AE0294">
              <w:rPr>
                <w:rFonts w:cstheme="minorHAnsi"/>
                <w:b/>
                <w:bCs/>
                <w:color w:val="000000"/>
                <w:sz w:val="24"/>
                <w:szCs w:val="24"/>
                <w:u w:val="single"/>
              </w:rPr>
              <w:t>For FY 2017-18</w:t>
            </w:r>
          </w:p>
          <w:p w:rsidR="00A72A9F" w:rsidRPr="00AE0294" w:rsidRDefault="00A72A9F" w:rsidP="00BC3A95">
            <w:pPr>
              <w:pStyle w:val="ListParagraph"/>
              <w:numPr>
                <w:ilvl w:val="0"/>
                <w:numId w:val="16"/>
              </w:numPr>
              <w:tabs>
                <w:tab w:val="left" w:pos="1833"/>
              </w:tabs>
              <w:autoSpaceDE w:val="0"/>
              <w:autoSpaceDN w:val="0"/>
              <w:spacing w:line="360" w:lineRule="auto"/>
              <w:ind w:left="405"/>
              <w:rPr>
                <w:rFonts w:asciiTheme="minorHAnsi" w:hAnsiTheme="minorHAnsi" w:cstheme="minorHAnsi"/>
                <w:bCs/>
                <w:color w:val="000000"/>
              </w:rPr>
            </w:pPr>
            <w:r w:rsidRPr="00AE0294">
              <w:rPr>
                <w:rFonts w:asciiTheme="minorHAnsi" w:hAnsiTheme="minorHAnsi" w:cstheme="minorHAnsi"/>
                <w:color w:val="000000"/>
              </w:rPr>
              <w:t xml:space="preserve">Hon’ble Commission in its Order dated Order dated 31.07.2019 (Para 3.487, Table 3.129) </w:t>
            </w:r>
            <w:r w:rsidRPr="00AE0294">
              <w:rPr>
                <w:rFonts w:asciiTheme="minorHAnsi" w:hAnsiTheme="minorHAnsi" w:cstheme="minorHAnsi"/>
                <w:b/>
                <w:color w:val="000000"/>
                <w:u w:val="single"/>
              </w:rPr>
              <w:t xml:space="preserve">has not included </w:t>
            </w:r>
            <w:r w:rsidRPr="00AE0294">
              <w:rPr>
                <w:rFonts w:asciiTheme="minorHAnsi" w:hAnsiTheme="minorHAnsi" w:cstheme="minorHAnsi"/>
                <w:b/>
                <w:bCs/>
                <w:color w:val="000000"/>
                <w:u w:val="single"/>
              </w:rPr>
              <w:t xml:space="preserve">carrying cost as an expense of </w:t>
            </w:r>
            <w:r w:rsidRPr="00AE0294">
              <w:rPr>
                <w:rFonts w:asciiTheme="minorHAnsi" w:hAnsiTheme="minorHAnsi" w:cstheme="minorHAnsi"/>
                <w:b/>
                <w:color w:val="000000"/>
                <w:u w:val="single"/>
              </w:rPr>
              <w:t xml:space="preserve">the ARR during the </w:t>
            </w:r>
            <w:r w:rsidRPr="00AE0294">
              <w:rPr>
                <w:rFonts w:asciiTheme="minorHAnsi" w:hAnsiTheme="minorHAnsi" w:cstheme="minorHAnsi"/>
                <w:b/>
                <w:color w:val="000000"/>
                <w:u w:val="single"/>
              </w:rPr>
              <w:lastRenderedPageBreak/>
              <w:t>Truing-up excercise.</w:t>
            </w:r>
          </w:p>
          <w:p w:rsidR="009249FD" w:rsidRPr="00AE0294" w:rsidRDefault="009249FD" w:rsidP="00A72A9F">
            <w:pPr>
              <w:tabs>
                <w:tab w:val="left" w:pos="1833"/>
              </w:tabs>
              <w:autoSpaceDE w:val="0"/>
              <w:autoSpaceDN w:val="0"/>
              <w:spacing w:after="0" w:line="360" w:lineRule="auto"/>
              <w:rPr>
                <w:rFonts w:cstheme="minorHAnsi"/>
                <w:b/>
                <w:bCs/>
                <w:color w:val="000000"/>
                <w:sz w:val="24"/>
                <w:szCs w:val="24"/>
                <w:u w:val="single"/>
              </w:rPr>
            </w:pPr>
          </w:p>
          <w:p w:rsidR="00A72A9F" w:rsidRPr="00AE0294" w:rsidRDefault="00A72A9F" w:rsidP="00A72A9F">
            <w:pPr>
              <w:tabs>
                <w:tab w:val="left" w:pos="1833"/>
              </w:tabs>
              <w:autoSpaceDE w:val="0"/>
              <w:autoSpaceDN w:val="0"/>
              <w:spacing w:after="0" w:line="360" w:lineRule="auto"/>
              <w:rPr>
                <w:rFonts w:cstheme="minorHAnsi"/>
                <w:b/>
                <w:bCs/>
                <w:color w:val="000000"/>
                <w:sz w:val="24"/>
                <w:szCs w:val="24"/>
                <w:u w:val="single"/>
              </w:rPr>
            </w:pPr>
            <w:r w:rsidRPr="00AE0294">
              <w:rPr>
                <w:rFonts w:cstheme="minorHAnsi"/>
                <w:b/>
                <w:bCs/>
                <w:color w:val="000000"/>
                <w:sz w:val="24"/>
                <w:szCs w:val="24"/>
                <w:u w:val="single"/>
              </w:rPr>
              <w:t>For FY 2018-19</w:t>
            </w:r>
          </w:p>
          <w:p w:rsidR="00282B78" w:rsidRPr="00AE0294" w:rsidRDefault="00A72A9F" w:rsidP="00BC3A95">
            <w:pPr>
              <w:pStyle w:val="ListParagraph"/>
              <w:numPr>
                <w:ilvl w:val="0"/>
                <w:numId w:val="16"/>
              </w:numPr>
              <w:tabs>
                <w:tab w:val="left" w:pos="1833"/>
              </w:tabs>
              <w:autoSpaceDE w:val="0"/>
              <w:autoSpaceDN w:val="0"/>
              <w:spacing w:line="360" w:lineRule="auto"/>
              <w:ind w:left="405"/>
              <w:rPr>
                <w:rFonts w:asciiTheme="minorHAnsi" w:hAnsiTheme="minorHAnsi" w:cstheme="minorHAnsi"/>
                <w:bCs/>
                <w:color w:val="000000"/>
              </w:rPr>
            </w:pPr>
            <w:r w:rsidRPr="00AE0294">
              <w:rPr>
                <w:rFonts w:asciiTheme="minorHAnsi" w:hAnsiTheme="minorHAnsi" w:cstheme="minorHAnsi"/>
                <w:color w:val="000000"/>
              </w:rPr>
              <w:t xml:space="preserve">Hon’ble Commission in its Order dated Order dated 28.08.2020 (Para 3.337, Table 3.93) </w:t>
            </w:r>
            <w:r w:rsidRPr="00AE0294">
              <w:rPr>
                <w:rFonts w:asciiTheme="minorHAnsi" w:hAnsiTheme="minorHAnsi" w:cstheme="minorHAnsi"/>
                <w:b/>
                <w:color w:val="000000"/>
                <w:u w:val="single"/>
              </w:rPr>
              <w:t xml:space="preserve">has not included </w:t>
            </w:r>
            <w:r w:rsidRPr="00AE0294">
              <w:rPr>
                <w:rFonts w:asciiTheme="minorHAnsi" w:hAnsiTheme="minorHAnsi" w:cstheme="minorHAnsi"/>
                <w:b/>
                <w:bCs/>
                <w:color w:val="000000"/>
                <w:u w:val="single"/>
              </w:rPr>
              <w:t xml:space="preserve">carrying cost as an expense of </w:t>
            </w:r>
            <w:r w:rsidRPr="00AE0294">
              <w:rPr>
                <w:rFonts w:asciiTheme="minorHAnsi" w:hAnsiTheme="minorHAnsi" w:cstheme="minorHAnsi"/>
                <w:b/>
                <w:color w:val="000000"/>
                <w:u w:val="single"/>
              </w:rPr>
              <w:t>the ARR during the Truing-up excercise.</w:t>
            </w:r>
          </w:p>
          <w:p w:rsidR="007819C3" w:rsidRPr="00AE0294" w:rsidRDefault="007819C3" w:rsidP="00A72A9F">
            <w:pPr>
              <w:tabs>
                <w:tab w:val="left" w:pos="1833"/>
              </w:tabs>
              <w:autoSpaceDE w:val="0"/>
              <w:autoSpaceDN w:val="0"/>
              <w:spacing w:after="0" w:line="360" w:lineRule="auto"/>
              <w:rPr>
                <w:rFonts w:cstheme="minorHAnsi"/>
                <w:b/>
                <w:bCs/>
                <w:color w:val="000000"/>
                <w:sz w:val="24"/>
                <w:szCs w:val="24"/>
                <w:u w:val="single"/>
              </w:rPr>
            </w:pPr>
          </w:p>
          <w:p w:rsidR="00A72A9F" w:rsidRPr="00AE0294" w:rsidRDefault="00A72A9F" w:rsidP="00A72A9F">
            <w:pPr>
              <w:tabs>
                <w:tab w:val="left" w:pos="1833"/>
              </w:tabs>
              <w:autoSpaceDE w:val="0"/>
              <w:autoSpaceDN w:val="0"/>
              <w:spacing w:after="0" w:line="360" w:lineRule="auto"/>
              <w:rPr>
                <w:rFonts w:cstheme="minorHAnsi"/>
                <w:b/>
                <w:bCs/>
                <w:color w:val="000000"/>
                <w:sz w:val="24"/>
                <w:szCs w:val="24"/>
                <w:u w:val="single"/>
              </w:rPr>
            </w:pPr>
            <w:r w:rsidRPr="00AE0294">
              <w:rPr>
                <w:rFonts w:cstheme="minorHAnsi"/>
                <w:b/>
                <w:bCs/>
                <w:color w:val="000000"/>
                <w:sz w:val="24"/>
                <w:szCs w:val="24"/>
                <w:u w:val="single"/>
              </w:rPr>
              <w:t>For FY 2019-20</w:t>
            </w:r>
          </w:p>
          <w:p w:rsidR="00C6492A" w:rsidRPr="00AE0294" w:rsidRDefault="00A72A9F" w:rsidP="00BC3A95">
            <w:pPr>
              <w:pStyle w:val="ListParagraph"/>
              <w:numPr>
                <w:ilvl w:val="0"/>
                <w:numId w:val="16"/>
              </w:numPr>
              <w:tabs>
                <w:tab w:val="left" w:pos="1833"/>
              </w:tabs>
              <w:autoSpaceDE w:val="0"/>
              <w:autoSpaceDN w:val="0"/>
              <w:spacing w:line="360" w:lineRule="auto"/>
              <w:ind w:left="405"/>
              <w:rPr>
                <w:rFonts w:asciiTheme="minorHAnsi" w:hAnsiTheme="minorHAnsi" w:cstheme="minorHAnsi"/>
                <w:bCs/>
                <w:color w:val="000000"/>
              </w:rPr>
            </w:pPr>
            <w:r w:rsidRPr="00AE0294">
              <w:rPr>
                <w:rFonts w:asciiTheme="minorHAnsi" w:hAnsiTheme="minorHAnsi" w:cstheme="minorHAnsi"/>
                <w:color w:val="000000"/>
              </w:rPr>
              <w:t xml:space="preserve">Hon’ble Commission in its Order dated Order dated 30.09.2021 (Para 3.299, Table 3.99) </w:t>
            </w:r>
            <w:r w:rsidRPr="00AE0294">
              <w:rPr>
                <w:rFonts w:asciiTheme="minorHAnsi" w:hAnsiTheme="minorHAnsi" w:cstheme="minorHAnsi"/>
                <w:b/>
                <w:color w:val="000000"/>
                <w:u w:val="single"/>
              </w:rPr>
              <w:t xml:space="preserve">has not included </w:t>
            </w:r>
            <w:r w:rsidRPr="00AE0294">
              <w:rPr>
                <w:rFonts w:asciiTheme="minorHAnsi" w:hAnsiTheme="minorHAnsi" w:cstheme="minorHAnsi"/>
                <w:b/>
                <w:bCs/>
                <w:color w:val="000000"/>
                <w:u w:val="single"/>
              </w:rPr>
              <w:t xml:space="preserve">carrying cost as an expense of </w:t>
            </w:r>
            <w:r w:rsidRPr="00AE0294">
              <w:rPr>
                <w:rFonts w:asciiTheme="minorHAnsi" w:hAnsiTheme="minorHAnsi" w:cstheme="minorHAnsi"/>
                <w:b/>
                <w:color w:val="000000"/>
                <w:u w:val="single"/>
              </w:rPr>
              <w:t>the ARR during the Truing-up excercise.</w:t>
            </w:r>
          </w:p>
        </w:tc>
        <w:tc>
          <w:tcPr>
            <w:tcW w:w="3537" w:type="dxa"/>
            <w:tcBorders>
              <w:top w:val="single" w:sz="6" w:space="0" w:color="000000"/>
              <w:left w:val="single" w:sz="6" w:space="0" w:color="000000"/>
              <w:bottom w:val="single" w:sz="6" w:space="0" w:color="000000"/>
              <w:right w:val="single" w:sz="6" w:space="0" w:color="000000"/>
            </w:tcBorders>
          </w:tcPr>
          <w:p w:rsidR="00C6492A" w:rsidRPr="00AE0294" w:rsidRDefault="00C6492A" w:rsidP="00BC3A95">
            <w:pPr>
              <w:pStyle w:val="ListParagraph"/>
              <w:numPr>
                <w:ilvl w:val="0"/>
                <w:numId w:val="16"/>
              </w:numPr>
              <w:autoSpaceDE w:val="0"/>
              <w:autoSpaceDN w:val="0"/>
              <w:spacing w:line="360" w:lineRule="auto"/>
              <w:ind w:left="383"/>
              <w:rPr>
                <w:rFonts w:asciiTheme="minorHAnsi" w:hAnsiTheme="minorHAnsi" w:cstheme="minorHAnsi"/>
                <w:lang w:val="en-US"/>
              </w:rPr>
            </w:pPr>
            <w:r w:rsidRPr="00AE0294">
              <w:rPr>
                <w:rFonts w:asciiTheme="minorHAnsi" w:hAnsiTheme="minorHAnsi" w:cstheme="minorHAnsi"/>
              </w:rPr>
              <w:lastRenderedPageBreak/>
              <w:t xml:space="preserve">Hence, the Petitioner requests the Hon’ble Commission to allow ₹ </w:t>
            </w:r>
            <w:r w:rsidR="008011BA">
              <w:rPr>
                <w:rFonts w:asciiTheme="minorHAnsi" w:hAnsiTheme="minorHAnsi" w:cstheme="minorHAnsi"/>
              </w:rPr>
              <w:t>245</w:t>
            </w:r>
            <w:r w:rsidRPr="00AE0294">
              <w:rPr>
                <w:rFonts w:asciiTheme="minorHAnsi" w:hAnsiTheme="minorHAnsi" w:cstheme="minorHAnsi"/>
              </w:rPr>
              <w:t xml:space="preserve"> Crore </w:t>
            </w:r>
            <w:r w:rsidR="00E46CF0" w:rsidRPr="00AE0294">
              <w:rPr>
                <w:rFonts w:asciiTheme="minorHAnsi" w:hAnsiTheme="minorHAnsi" w:cstheme="minorHAnsi"/>
              </w:rPr>
              <w:t>(</w:t>
            </w:r>
            <w:r w:rsidRPr="00AE0294">
              <w:rPr>
                <w:rFonts w:asciiTheme="minorHAnsi" w:hAnsiTheme="minorHAnsi" w:cstheme="minorHAnsi"/>
              </w:rPr>
              <w:t>inclu</w:t>
            </w:r>
            <w:r w:rsidR="00E46CF0" w:rsidRPr="00AE0294">
              <w:rPr>
                <w:rFonts w:asciiTheme="minorHAnsi" w:hAnsiTheme="minorHAnsi" w:cstheme="minorHAnsi"/>
              </w:rPr>
              <w:t>ding</w:t>
            </w:r>
            <w:r w:rsidRPr="00AE0294">
              <w:rPr>
                <w:rFonts w:asciiTheme="minorHAnsi" w:hAnsiTheme="minorHAnsi" w:cstheme="minorHAnsi"/>
              </w:rPr>
              <w:t xml:space="preserve"> carrying cost</w:t>
            </w:r>
            <w:r w:rsidR="00E46CF0" w:rsidRPr="00AE0294">
              <w:rPr>
                <w:rFonts w:asciiTheme="minorHAnsi" w:hAnsiTheme="minorHAnsi" w:cstheme="minorHAnsi"/>
              </w:rPr>
              <w:t>)</w:t>
            </w:r>
          </w:p>
          <w:p w:rsidR="00E46CF0" w:rsidRPr="00AE0294" w:rsidRDefault="00101FAE" w:rsidP="00BC3A95">
            <w:pPr>
              <w:pStyle w:val="ListParagraph"/>
              <w:numPr>
                <w:ilvl w:val="0"/>
                <w:numId w:val="16"/>
              </w:numPr>
              <w:autoSpaceDE w:val="0"/>
              <w:autoSpaceDN w:val="0"/>
              <w:spacing w:line="360" w:lineRule="auto"/>
              <w:ind w:left="383"/>
              <w:rPr>
                <w:rFonts w:asciiTheme="minorHAnsi" w:hAnsiTheme="minorHAnsi" w:cstheme="minorHAnsi"/>
                <w:lang w:val="en-US"/>
              </w:rPr>
            </w:pPr>
            <w:r w:rsidRPr="00AE0294">
              <w:rPr>
                <w:rFonts w:asciiTheme="minorHAnsi" w:hAnsiTheme="minorHAnsi" w:cstheme="minorHAnsi"/>
                <w:color w:val="000000"/>
              </w:rPr>
              <w:t xml:space="preserve">The detailed computation is enclosed as </w:t>
            </w:r>
            <w:r w:rsidRPr="00AE0294">
              <w:rPr>
                <w:rFonts w:asciiTheme="minorHAnsi" w:hAnsiTheme="minorHAnsi" w:cstheme="minorHAnsi"/>
                <w:b/>
                <w:color w:val="000000"/>
              </w:rPr>
              <w:t>Annexure – 3B(ii)</w:t>
            </w:r>
            <w:r w:rsidRPr="00AE0294">
              <w:rPr>
                <w:rFonts w:asciiTheme="minorHAnsi" w:hAnsiTheme="minorHAnsi" w:cstheme="minorHAnsi"/>
                <w:color w:val="000000"/>
              </w:rPr>
              <w:t>.</w:t>
            </w:r>
          </w:p>
        </w:tc>
      </w:tr>
      <w:tr w:rsidR="00657C48" w:rsidRPr="00AE0294" w:rsidTr="009249FD">
        <w:trPr>
          <w:trHeight w:val="970"/>
        </w:trPr>
        <w:tc>
          <w:tcPr>
            <w:tcW w:w="745" w:type="dxa"/>
            <w:tcBorders>
              <w:top w:val="single" w:sz="6" w:space="0" w:color="000000"/>
              <w:left w:val="single" w:sz="6" w:space="0" w:color="000000"/>
              <w:bottom w:val="single" w:sz="6" w:space="0" w:color="000000"/>
              <w:right w:val="single" w:sz="6" w:space="0" w:color="000000"/>
            </w:tcBorders>
          </w:tcPr>
          <w:p w:rsidR="00C6492A" w:rsidRPr="00AE0294" w:rsidRDefault="00C6492A" w:rsidP="00BC3A95">
            <w:pPr>
              <w:pStyle w:val="ListParagraph"/>
              <w:widowControl/>
              <w:numPr>
                <w:ilvl w:val="0"/>
                <w:numId w:val="9"/>
              </w:numPr>
              <w:autoSpaceDE w:val="0"/>
              <w:autoSpaceDN w:val="0"/>
              <w:spacing w:line="360" w:lineRule="auto"/>
              <w:textAlignment w:val="auto"/>
              <w:rPr>
                <w:rFonts w:asciiTheme="minorHAnsi" w:hAnsiTheme="minorHAnsi" w:cstheme="minorHAnsi"/>
                <w:color w:val="000000"/>
              </w:rPr>
            </w:pPr>
          </w:p>
        </w:tc>
        <w:tc>
          <w:tcPr>
            <w:tcW w:w="2340" w:type="dxa"/>
            <w:tcBorders>
              <w:top w:val="single" w:sz="6" w:space="0" w:color="000000"/>
              <w:left w:val="single" w:sz="6" w:space="0" w:color="000000"/>
              <w:bottom w:val="single" w:sz="6" w:space="0" w:color="000000"/>
              <w:right w:val="single" w:sz="6" w:space="0" w:color="000000"/>
            </w:tcBorders>
          </w:tcPr>
          <w:p w:rsidR="00C6492A" w:rsidRPr="00AE0294" w:rsidRDefault="007819C3" w:rsidP="00C6492A">
            <w:pPr>
              <w:autoSpaceDE w:val="0"/>
              <w:autoSpaceDN w:val="0"/>
              <w:adjustRightInd w:val="0"/>
              <w:spacing w:after="0" w:line="360" w:lineRule="auto"/>
              <w:jc w:val="both"/>
              <w:rPr>
                <w:rFonts w:cstheme="minorHAnsi"/>
                <w:color w:val="000000"/>
                <w:sz w:val="24"/>
                <w:szCs w:val="24"/>
              </w:rPr>
            </w:pPr>
            <w:r w:rsidRPr="00AE0294">
              <w:rPr>
                <w:rFonts w:cstheme="minorHAnsi"/>
                <w:color w:val="000000"/>
                <w:sz w:val="24"/>
                <w:szCs w:val="24"/>
              </w:rPr>
              <w:t>I</w:t>
            </w:r>
            <w:r w:rsidR="00C6492A" w:rsidRPr="00AE0294">
              <w:rPr>
                <w:rFonts w:cstheme="minorHAnsi"/>
                <w:color w:val="000000"/>
                <w:sz w:val="24"/>
                <w:szCs w:val="24"/>
              </w:rPr>
              <w:t>mpact of GST</w:t>
            </w:r>
          </w:p>
        </w:tc>
        <w:tc>
          <w:tcPr>
            <w:tcW w:w="4111" w:type="dxa"/>
            <w:tcBorders>
              <w:top w:val="single" w:sz="6" w:space="0" w:color="000000"/>
              <w:left w:val="single" w:sz="6" w:space="0" w:color="000000"/>
              <w:bottom w:val="single" w:sz="6" w:space="0" w:color="000000"/>
              <w:right w:val="single" w:sz="6" w:space="0" w:color="000000"/>
            </w:tcBorders>
          </w:tcPr>
          <w:p w:rsidR="006D51F4" w:rsidRPr="00AE0294" w:rsidRDefault="006D51F4" w:rsidP="00BC3A95">
            <w:pPr>
              <w:pStyle w:val="ListParagraph"/>
              <w:numPr>
                <w:ilvl w:val="0"/>
                <w:numId w:val="17"/>
              </w:numPr>
              <w:tabs>
                <w:tab w:val="left" w:pos="1833"/>
              </w:tabs>
              <w:autoSpaceDE w:val="0"/>
              <w:autoSpaceDN w:val="0"/>
              <w:spacing w:line="360" w:lineRule="auto"/>
              <w:ind w:left="263"/>
              <w:rPr>
                <w:rFonts w:asciiTheme="minorHAnsi" w:hAnsiTheme="minorHAnsi" w:cstheme="minorHAnsi"/>
                <w:bCs/>
                <w:color w:val="000000"/>
              </w:rPr>
            </w:pPr>
            <w:r w:rsidRPr="00AE0294">
              <w:rPr>
                <w:rFonts w:asciiTheme="minorHAnsi" w:hAnsiTheme="minorHAnsi" w:cstheme="minorHAnsi"/>
                <w:bCs/>
                <w:color w:val="000000"/>
              </w:rPr>
              <w:t xml:space="preserve">Regulation 87 of the DERC (Terms and Conditions for Determination of Tariff) Regulations, 2017 states that </w:t>
            </w:r>
            <w:r w:rsidRPr="00AE0294">
              <w:rPr>
                <w:rFonts w:asciiTheme="minorHAnsi" w:hAnsiTheme="minorHAnsi" w:cstheme="minorHAnsi"/>
                <w:bCs/>
                <w:i/>
                <w:color w:val="000000"/>
              </w:rPr>
              <w:t xml:space="preserve">“...any </w:t>
            </w:r>
            <w:r w:rsidRPr="00AE0294">
              <w:rPr>
                <w:rFonts w:asciiTheme="minorHAnsi" w:hAnsiTheme="minorHAnsi" w:cstheme="minorHAnsi"/>
                <w:b/>
                <w:bCs/>
                <w:i/>
                <w:color w:val="000000"/>
                <w:u w:val="single"/>
              </w:rPr>
              <w:t>statutory levy and taxes</w:t>
            </w:r>
            <w:r w:rsidRPr="00AE0294">
              <w:rPr>
                <w:rFonts w:asciiTheme="minorHAnsi" w:hAnsiTheme="minorHAnsi" w:cstheme="minorHAnsi"/>
                <w:bCs/>
                <w:i/>
                <w:color w:val="000000"/>
              </w:rPr>
              <w:t xml:space="preserve"> under O&amp;M expenses if indicated separately in the audited financial statement </w:t>
            </w:r>
            <w:r w:rsidRPr="00AE0294">
              <w:rPr>
                <w:rFonts w:asciiTheme="minorHAnsi" w:hAnsiTheme="minorHAnsi" w:cstheme="minorHAnsi"/>
                <w:b/>
                <w:bCs/>
                <w:i/>
                <w:color w:val="000000"/>
                <w:u w:val="single"/>
              </w:rPr>
              <w:t>shall not form part of normative O&amp;M expenses</w:t>
            </w:r>
            <w:r w:rsidRPr="00AE0294">
              <w:rPr>
                <w:rFonts w:asciiTheme="minorHAnsi" w:hAnsiTheme="minorHAnsi" w:cstheme="minorHAnsi"/>
                <w:bCs/>
                <w:i/>
                <w:color w:val="000000"/>
              </w:rPr>
              <w:t>.”</w:t>
            </w:r>
          </w:p>
          <w:p w:rsidR="006D51F4" w:rsidRPr="00AE0294" w:rsidRDefault="006D51F4" w:rsidP="00BC3A95">
            <w:pPr>
              <w:pStyle w:val="ListParagraph"/>
              <w:numPr>
                <w:ilvl w:val="0"/>
                <w:numId w:val="17"/>
              </w:numPr>
              <w:tabs>
                <w:tab w:val="left" w:pos="1833"/>
              </w:tabs>
              <w:autoSpaceDE w:val="0"/>
              <w:autoSpaceDN w:val="0"/>
              <w:spacing w:line="360" w:lineRule="auto"/>
              <w:ind w:left="263"/>
              <w:rPr>
                <w:rFonts w:asciiTheme="minorHAnsi" w:hAnsiTheme="minorHAnsi" w:cstheme="minorHAnsi"/>
                <w:bCs/>
                <w:color w:val="000000"/>
              </w:rPr>
            </w:pPr>
            <w:r w:rsidRPr="00AE0294">
              <w:rPr>
                <w:rFonts w:asciiTheme="minorHAnsi" w:hAnsiTheme="minorHAnsi" w:cstheme="minorHAnsi"/>
                <w:bCs/>
                <w:color w:val="000000"/>
              </w:rPr>
              <w:t>GST is a stat</w:t>
            </w:r>
            <w:r w:rsidR="00E914C7" w:rsidRPr="00AE0294">
              <w:rPr>
                <w:rFonts w:asciiTheme="minorHAnsi" w:hAnsiTheme="minorHAnsi" w:cstheme="minorHAnsi"/>
                <w:bCs/>
                <w:color w:val="000000"/>
              </w:rPr>
              <w:t>utory levy implemented by the Central Government with effect from 01.07.2017.</w:t>
            </w:r>
          </w:p>
          <w:p w:rsidR="00BA1604" w:rsidRPr="00AE0294" w:rsidRDefault="00BA1604" w:rsidP="00BC3A95">
            <w:pPr>
              <w:pStyle w:val="ListParagraph"/>
              <w:numPr>
                <w:ilvl w:val="0"/>
                <w:numId w:val="17"/>
              </w:numPr>
              <w:tabs>
                <w:tab w:val="left" w:pos="1833"/>
              </w:tabs>
              <w:autoSpaceDE w:val="0"/>
              <w:autoSpaceDN w:val="0"/>
              <w:spacing w:line="360" w:lineRule="auto"/>
              <w:ind w:left="263"/>
              <w:rPr>
                <w:rFonts w:asciiTheme="minorHAnsi" w:hAnsiTheme="minorHAnsi" w:cstheme="minorHAnsi"/>
                <w:bCs/>
                <w:color w:val="000000"/>
              </w:rPr>
            </w:pPr>
            <w:r w:rsidRPr="00AE0294">
              <w:rPr>
                <w:rFonts w:asciiTheme="minorHAnsi" w:hAnsiTheme="minorHAnsi" w:cstheme="minorHAnsi"/>
                <w:bCs/>
                <w:color w:val="000000"/>
              </w:rPr>
              <w:t>Therefore, the Hon’ble Commission ought to have allowed the statutory levy as an additional expense over and above normative expenses at the time of truing up as these expenses were not part of the normative O&amp;M expenses allowed.</w:t>
            </w:r>
          </w:p>
          <w:p w:rsidR="00C6492A" w:rsidRPr="00AE0294" w:rsidRDefault="00BA1604" w:rsidP="00BC3A95">
            <w:pPr>
              <w:pStyle w:val="ListParagraph"/>
              <w:numPr>
                <w:ilvl w:val="0"/>
                <w:numId w:val="17"/>
              </w:numPr>
              <w:tabs>
                <w:tab w:val="left" w:pos="1833"/>
              </w:tabs>
              <w:autoSpaceDE w:val="0"/>
              <w:autoSpaceDN w:val="0"/>
              <w:spacing w:line="360" w:lineRule="auto"/>
              <w:ind w:left="263"/>
              <w:rPr>
                <w:rFonts w:asciiTheme="minorHAnsi" w:hAnsiTheme="minorHAnsi" w:cstheme="minorHAnsi"/>
                <w:bCs/>
                <w:color w:val="000000"/>
              </w:rPr>
            </w:pPr>
            <w:r w:rsidRPr="00AE0294">
              <w:rPr>
                <w:rFonts w:asciiTheme="minorHAnsi" w:hAnsiTheme="minorHAnsi" w:cstheme="minorHAnsi"/>
                <w:bCs/>
                <w:color w:val="000000"/>
              </w:rPr>
              <w:lastRenderedPageBreak/>
              <w:t xml:space="preserve">The same is also upheld by the </w:t>
            </w:r>
            <w:r w:rsidR="00C6492A" w:rsidRPr="00AE0294">
              <w:rPr>
                <w:rFonts w:asciiTheme="minorHAnsi" w:hAnsiTheme="minorHAnsi" w:cstheme="minorHAnsi"/>
                <w:bCs/>
                <w:color w:val="000000"/>
              </w:rPr>
              <w:t xml:space="preserve">Hon’ble </w:t>
            </w:r>
            <w:r w:rsidR="00E914C7" w:rsidRPr="00AE0294">
              <w:rPr>
                <w:rFonts w:asciiTheme="minorHAnsi" w:hAnsiTheme="minorHAnsi" w:cstheme="minorHAnsi"/>
                <w:bCs/>
                <w:color w:val="000000"/>
              </w:rPr>
              <w:t>Supreme Court</w:t>
            </w:r>
            <w:r w:rsidRPr="00AE0294">
              <w:rPr>
                <w:rFonts w:asciiTheme="minorHAnsi" w:hAnsiTheme="minorHAnsi" w:cstheme="minorHAnsi"/>
                <w:bCs/>
                <w:color w:val="000000"/>
              </w:rPr>
              <w:t xml:space="preserve"> vide its </w:t>
            </w:r>
            <w:r w:rsidR="00E914C7" w:rsidRPr="00AE0294">
              <w:rPr>
                <w:rFonts w:asciiTheme="minorHAnsi" w:hAnsiTheme="minorHAnsi" w:cstheme="minorHAnsi"/>
                <w:bCs/>
                <w:color w:val="000000"/>
              </w:rPr>
              <w:t xml:space="preserve"> </w:t>
            </w:r>
            <w:r w:rsidRPr="00AE0294">
              <w:rPr>
                <w:rFonts w:asciiTheme="minorHAnsi" w:hAnsiTheme="minorHAnsi" w:cstheme="minorHAnsi"/>
                <w:bCs/>
                <w:color w:val="000000"/>
              </w:rPr>
              <w:t>judgement</w:t>
            </w:r>
            <w:r w:rsidR="00E914C7" w:rsidRPr="00AE0294">
              <w:rPr>
                <w:rFonts w:asciiTheme="minorHAnsi" w:hAnsiTheme="minorHAnsi" w:cstheme="minorHAnsi"/>
                <w:bCs/>
                <w:color w:val="000000"/>
              </w:rPr>
              <w:t xml:space="preserve"> dated 18.10.2022</w:t>
            </w:r>
            <w:r w:rsidRPr="00AE0294">
              <w:rPr>
                <w:rFonts w:asciiTheme="minorHAnsi" w:hAnsiTheme="minorHAnsi" w:cstheme="minorHAnsi"/>
                <w:bCs/>
                <w:color w:val="000000"/>
              </w:rPr>
              <w:t xml:space="preserve"> which</w:t>
            </w:r>
            <w:r w:rsidR="00E914C7" w:rsidRPr="00AE0294">
              <w:rPr>
                <w:rFonts w:asciiTheme="minorHAnsi" w:hAnsiTheme="minorHAnsi" w:cstheme="minorHAnsi"/>
                <w:bCs/>
                <w:color w:val="000000"/>
              </w:rPr>
              <w:t xml:space="preserve"> states that “</w:t>
            </w:r>
            <w:r w:rsidR="00E914C7" w:rsidRPr="00AE0294">
              <w:rPr>
                <w:rFonts w:asciiTheme="minorHAnsi" w:hAnsiTheme="minorHAnsi" w:cstheme="minorHAnsi"/>
                <w:bCs/>
                <w:i/>
                <w:color w:val="000000"/>
              </w:rPr>
              <w:t>...we are also of the view that at the stage of ‘truing up’, the DERC cannot change the rules/methodology used in the initial tariff determination by changing the basic principles, premises and issues involved in the initial projection of ARR.</w:t>
            </w:r>
            <w:r w:rsidR="00E914C7" w:rsidRPr="00AE0294">
              <w:rPr>
                <w:rFonts w:asciiTheme="minorHAnsi" w:hAnsiTheme="minorHAnsi" w:cstheme="minorHAnsi"/>
                <w:bCs/>
                <w:color w:val="000000"/>
              </w:rPr>
              <w:t>”</w:t>
            </w:r>
          </w:p>
        </w:tc>
        <w:tc>
          <w:tcPr>
            <w:tcW w:w="3969" w:type="dxa"/>
            <w:tcBorders>
              <w:top w:val="single" w:sz="6" w:space="0" w:color="000000"/>
              <w:left w:val="single" w:sz="6" w:space="0" w:color="000000"/>
              <w:bottom w:val="single" w:sz="6" w:space="0" w:color="000000"/>
              <w:right w:val="single" w:sz="6" w:space="0" w:color="000000"/>
            </w:tcBorders>
          </w:tcPr>
          <w:p w:rsidR="00C6492A" w:rsidRPr="00AE0294" w:rsidRDefault="00C6492A" w:rsidP="00BC3A95">
            <w:pPr>
              <w:pStyle w:val="ListParagraph"/>
              <w:numPr>
                <w:ilvl w:val="0"/>
                <w:numId w:val="17"/>
              </w:numPr>
              <w:tabs>
                <w:tab w:val="left" w:pos="1833"/>
              </w:tabs>
              <w:autoSpaceDE w:val="0"/>
              <w:autoSpaceDN w:val="0"/>
              <w:spacing w:line="360" w:lineRule="auto"/>
              <w:ind w:left="263"/>
              <w:rPr>
                <w:rFonts w:asciiTheme="minorHAnsi" w:hAnsiTheme="minorHAnsi" w:cstheme="minorHAnsi"/>
                <w:color w:val="000000"/>
              </w:rPr>
            </w:pPr>
            <w:r w:rsidRPr="00AE0294">
              <w:rPr>
                <w:rFonts w:asciiTheme="minorHAnsi" w:hAnsiTheme="minorHAnsi" w:cstheme="minorHAnsi"/>
                <w:bCs/>
                <w:color w:val="000000"/>
              </w:rPr>
              <w:lastRenderedPageBreak/>
              <w:t>The</w:t>
            </w:r>
            <w:r w:rsidRPr="00AE0294">
              <w:rPr>
                <w:rFonts w:asciiTheme="minorHAnsi" w:hAnsiTheme="minorHAnsi" w:cstheme="minorHAnsi"/>
                <w:color w:val="000000"/>
              </w:rPr>
              <w:t xml:space="preserve"> Hon’ble Commission </w:t>
            </w:r>
            <w:r w:rsidRPr="00AE0294">
              <w:rPr>
                <w:rFonts w:asciiTheme="minorHAnsi" w:hAnsiTheme="minorHAnsi" w:cstheme="minorHAnsi"/>
                <w:bCs/>
                <w:color w:val="000000"/>
              </w:rPr>
              <w:t xml:space="preserve">in the True-up exercise of the ARR vide </w:t>
            </w:r>
            <w:r w:rsidRPr="00AE0294">
              <w:rPr>
                <w:rFonts w:asciiTheme="minorHAnsi" w:hAnsiTheme="minorHAnsi" w:cstheme="minorHAnsi"/>
                <w:color w:val="000000"/>
              </w:rPr>
              <w:t>Order dated 28.03.2018 (Para 3.82 to 3.83, Table 131), Order dated 31.07.2019 (Para 3.344 to 3.346, Table 3.96), Order dated 28.08.2020 (Para 3.197 to 3</w:t>
            </w:r>
            <w:bookmarkStart w:id="9" w:name="_GoBack"/>
            <w:bookmarkEnd w:id="9"/>
            <w:r w:rsidRPr="00AE0294">
              <w:rPr>
                <w:rFonts w:asciiTheme="minorHAnsi" w:hAnsiTheme="minorHAnsi" w:cstheme="minorHAnsi"/>
                <w:color w:val="000000"/>
              </w:rPr>
              <w:t xml:space="preserve">.199, Table 3.53) and Order dated 30.09.2021 (Para 3.221, Table 3.64) has arbitrarily changed the principles and </w:t>
            </w:r>
            <w:r w:rsidR="00BA1604" w:rsidRPr="00AE0294">
              <w:rPr>
                <w:rFonts w:asciiTheme="minorHAnsi" w:hAnsiTheme="minorHAnsi" w:cstheme="minorHAnsi"/>
                <w:color w:val="000000"/>
              </w:rPr>
              <w:t xml:space="preserve">have </w:t>
            </w:r>
            <w:r w:rsidRPr="00AE0294">
              <w:rPr>
                <w:rFonts w:asciiTheme="minorHAnsi" w:hAnsiTheme="minorHAnsi" w:cstheme="minorHAnsi"/>
                <w:color w:val="000000"/>
              </w:rPr>
              <w:t xml:space="preserve">disallowed the impact of </w:t>
            </w:r>
            <w:r w:rsidR="00BA1604" w:rsidRPr="00AE0294">
              <w:rPr>
                <w:rFonts w:asciiTheme="minorHAnsi" w:hAnsiTheme="minorHAnsi" w:cstheme="minorHAnsi"/>
                <w:color w:val="000000"/>
              </w:rPr>
              <w:t>statutory levy and taxes.</w:t>
            </w:r>
          </w:p>
          <w:p w:rsidR="00BA1604" w:rsidRPr="00AE0294" w:rsidRDefault="00BA1604" w:rsidP="00BC3A95">
            <w:pPr>
              <w:pStyle w:val="ListParagraph"/>
              <w:numPr>
                <w:ilvl w:val="0"/>
                <w:numId w:val="17"/>
              </w:numPr>
              <w:tabs>
                <w:tab w:val="left" w:pos="1833"/>
              </w:tabs>
              <w:autoSpaceDE w:val="0"/>
              <w:autoSpaceDN w:val="0"/>
              <w:spacing w:line="360" w:lineRule="auto"/>
              <w:ind w:left="263"/>
              <w:rPr>
                <w:rFonts w:asciiTheme="minorHAnsi" w:hAnsiTheme="minorHAnsi" w:cstheme="minorHAnsi"/>
                <w:color w:val="000000"/>
              </w:rPr>
            </w:pPr>
            <w:r w:rsidRPr="00AE0294">
              <w:rPr>
                <w:rFonts w:asciiTheme="minorHAnsi" w:hAnsiTheme="minorHAnsi" w:cstheme="minorHAnsi"/>
                <w:color w:val="000000"/>
              </w:rPr>
              <w:t>The aforesaid stand of the Hon’ble Commission is contrary to the regulations as well as to the principle laid down in the Surpeme Court judgement dated 18.10.2022.</w:t>
            </w:r>
          </w:p>
        </w:tc>
        <w:tc>
          <w:tcPr>
            <w:tcW w:w="3537" w:type="dxa"/>
            <w:tcBorders>
              <w:top w:val="single" w:sz="6" w:space="0" w:color="000000"/>
              <w:left w:val="single" w:sz="6" w:space="0" w:color="000000"/>
              <w:bottom w:val="single" w:sz="6" w:space="0" w:color="000000"/>
              <w:right w:val="single" w:sz="6" w:space="0" w:color="000000"/>
            </w:tcBorders>
          </w:tcPr>
          <w:p w:rsidR="00C6492A" w:rsidRPr="00AE0294" w:rsidRDefault="00922260" w:rsidP="00BC3A95">
            <w:pPr>
              <w:pStyle w:val="ListParagraph"/>
              <w:numPr>
                <w:ilvl w:val="0"/>
                <w:numId w:val="17"/>
              </w:numPr>
              <w:tabs>
                <w:tab w:val="left" w:pos="1833"/>
              </w:tabs>
              <w:autoSpaceDE w:val="0"/>
              <w:autoSpaceDN w:val="0"/>
              <w:spacing w:line="360" w:lineRule="auto"/>
              <w:ind w:left="263"/>
              <w:rPr>
                <w:rFonts w:asciiTheme="minorHAnsi" w:hAnsiTheme="minorHAnsi" w:cstheme="minorHAnsi"/>
              </w:rPr>
            </w:pPr>
            <w:r w:rsidRPr="00AE0294">
              <w:rPr>
                <w:rFonts w:asciiTheme="minorHAnsi" w:hAnsiTheme="minorHAnsi" w:cstheme="minorHAnsi"/>
              </w:rPr>
              <w:t>T</w:t>
            </w:r>
            <w:r w:rsidR="00C6492A" w:rsidRPr="00AE0294">
              <w:rPr>
                <w:rFonts w:asciiTheme="minorHAnsi" w:hAnsiTheme="minorHAnsi" w:cstheme="minorHAnsi"/>
              </w:rPr>
              <w:t xml:space="preserve">he Petitioner requests the Hon’ble Commission to allow ₹ </w:t>
            </w:r>
            <w:r w:rsidR="007A3406" w:rsidRPr="00AE0294">
              <w:rPr>
                <w:rFonts w:asciiTheme="minorHAnsi" w:hAnsiTheme="minorHAnsi" w:cstheme="minorHAnsi"/>
              </w:rPr>
              <w:t>57.5</w:t>
            </w:r>
            <w:r w:rsidR="00C6492A" w:rsidRPr="00AE0294">
              <w:rPr>
                <w:rFonts w:asciiTheme="minorHAnsi" w:hAnsiTheme="minorHAnsi" w:cstheme="minorHAnsi"/>
              </w:rPr>
              <w:t xml:space="preserve"> Crore </w:t>
            </w:r>
            <w:r w:rsidR="00BA1604" w:rsidRPr="00AE0294">
              <w:rPr>
                <w:rFonts w:asciiTheme="minorHAnsi" w:hAnsiTheme="minorHAnsi" w:cstheme="minorHAnsi"/>
              </w:rPr>
              <w:t xml:space="preserve">(including </w:t>
            </w:r>
            <w:r w:rsidR="00C6492A" w:rsidRPr="00AE0294">
              <w:rPr>
                <w:rFonts w:asciiTheme="minorHAnsi" w:hAnsiTheme="minorHAnsi" w:cstheme="minorHAnsi"/>
              </w:rPr>
              <w:t>carrying cost</w:t>
            </w:r>
            <w:r w:rsidR="00BA1604" w:rsidRPr="00AE0294">
              <w:rPr>
                <w:rFonts w:asciiTheme="minorHAnsi" w:hAnsiTheme="minorHAnsi" w:cstheme="minorHAnsi"/>
              </w:rPr>
              <w:t>).</w:t>
            </w:r>
          </w:p>
          <w:p w:rsidR="00BA1604" w:rsidRPr="00AE0294" w:rsidRDefault="00101FAE" w:rsidP="00BC3A95">
            <w:pPr>
              <w:pStyle w:val="ListParagraph"/>
              <w:numPr>
                <w:ilvl w:val="0"/>
                <w:numId w:val="17"/>
              </w:numPr>
              <w:tabs>
                <w:tab w:val="left" w:pos="1833"/>
              </w:tabs>
              <w:autoSpaceDE w:val="0"/>
              <w:autoSpaceDN w:val="0"/>
              <w:spacing w:line="360" w:lineRule="auto"/>
              <w:ind w:left="263"/>
              <w:rPr>
                <w:rFonts w:asciiTheme="minorHAnsi" w:hAnsiTheme="minorHAnsi" w:cstheme="minorHAnsi"/>
              </w:rPr>
            </w:pPr>
            <w:r w:rsidRPr="00AE0294">
              <w:rPr>
                <w:rFonts w:asciiTheme="minorHAnsi" w:hAnsiTheme="minorHAnsi" w:cstheme="minorHAnsi"/>
                <w:color w:val="000000"/>
              </w:rPr>
              <w:t xml:space="preserve">The detailed computation is enclosed as </w:t>
            </w:r>
            <w:r w:rsidRPr="00AE0294">
              <w:rPr>
                <w:rFonts w:asciiTheme="minorHAnsi" w:hAnsiTheme="minorHAnsi" w:cstheme="minorHAnsi"/>
                <w:b/>
                <w:color w:val="000000"/>
              </w:rPr>
              <w:t>Annexure – 3B(ii)</w:t>
            </w:r>
            <w:r w:rsidRPr="00AE0294">
              <w:rPr>
                <w:rFonts w:asciiTheme="minorHAnsi" w:hAnsiTheme="minorHAnsi" w:cstheme="minorHAnsi"/>
                <w:color w:val="000000"/>
              </w:rPr>
              <w:t>.</w:t>
            </w:r>
          </w:p>
        </w:tc>
      </w:tr>
      <w:tr w:rsidR="00657C48" w:rsidRPr="00AE0294" w:rsidTr="009249FD">
        <w:trPr>
          <w:trHeight w:val="970"/>
        </w:trPr>
        <w:tc>
          <w:tcPr>
            <w:tcW w:w="745" w:type="dxa"/>
            <w:tcBorders>
              <w:top w:val="single" w:sz="6" w:space="0" w:color="000000"/>
              <w:left w:val="single" w:sz="6" w:space="0" w:color="000000"/>
              <w:bottom w:val="single" w:sz="6" w:space="0" w:color="000000"/>
              <w:right w:val="single" w:sz="6" w:space="0" w:color="000000"/>
            </w:tcBorders>
          </w:tcPr>
          <w:p w:rsidR="00922260" w:rsidRPr="00AE0294" w:rsidRDefault="00922260" w:rsidP="00BC3A95">
            <w:pPr>
              <w:pStyle w:val="ListParagraph"/>
              <w:widowControl/>
              <w:numPr>
                <w:ilvl w:val="0"/>
                <w:numId w:val="9"/>
              </w:numPr>
              <w:autoSpaceDE w:val="0"/>
              <w:autoSpaceDN w:val="0"/>
              <w:spacing w:line="360" w:lineRule="auto"/>
              <w:textAlignment w:val="auto"/>
              <w:rPr>
                <w:rFonts w:asciiTheme="minorHAnsi" w:hAnsiTheme="minorHAnsi" w:cstheme="minorHAnsi"/>
                <w:color w:val="000000"/>
              </w:rPr>
            </w:pPr>
          </w:p>
        </w:tc>
        <w:tc>
          <w:tcPr>
            <w:tcW w:w="2340" w:type="dxa"/>
            <w:tcBorders>
              <w:top w:val="single" w:sz="6" w:space="0" w:color="000000"/>
              <w:left w:val="single" w:sz="6" w:space="0" w:color="000000"/>
              <w:bottom w:val="single" w:sz="6" w:space="0" w:color="000000"/>
              <w:right w:val="single" w:sz="6" w:space="0" w:color="000000"/>
            </w:tcBorders>
          </w:tcPr>
          <w:p w:rsidR="00922260" w:rsidRPr="00AE0294" w:rsidRDefault="00DF3C86" w:rsidP="00DF3C86">
            <w:pPr>
              <w:autoSpaceDE w:val="0"/>
              <w:autoSpaceDN w:val="0"/>
              <w:adjustRightInd w:val="0"/>
              <w:spacing w:after="0" w:line="360" w:lineRule="auto"/>
              <w:jc w:val="both"/>
              <w:rPr>
                <w:rFonts w:cstheme="minorHAnsi"/>
                <w:color w:val="000000"/>
                <w:sz w:val="24"/>
                <w:szCs w:val="24"/>
              </w:rPr>
            </w:pPr>
            <w:r w:rsidRPr="00AE0294">
              <w:rPr>
                <w:rFonts w:cstheme="minorHAnsi"/>
                <w:color w:val="000000"/>
                <w:sz w:val="24"/>
                <w:szCs w:val="24"/>
              </w:rPr>
              <w:t xml:space="preserve">Financing of Capital Investment- Retrospective change in methodology/ </w:t>
            </w:r>
            <w:r w:rsidR="009B3BC4" w:rsidRPr="00AE0294">
              <w:rPr>
                <w:rFonts w:cstheme="minorHAnsi"/>
                <w:color w:val="000000"/>
                <w:sz w:val="24"/>
                <w:szCs w:val="24"/>
              </w:rPr>
              <w:t>principles</w:t>
            </w:r>
            <w:r w:rsidRPr="00AE0294">
              <w:rPr>
                <w:rFonts w:cstheme="minorHAnsi"/>
                <w:color w:val="000000"/>
                <w:sz w:val="24"/>
                <w:szCs w:val="24"/>
              </w:rPr>
              <w:t xml:space="preserve"> of tariff determination and re-opening the </w:t>
            </w:r>
            <w:r w:rsidRPr="00AE0294">
              <w:rPr>
                <w:rFonts w:cstheme="minorHAnsi"/>
                <w:color w:val="000000"/>
                <w:sz w:val="24"/>
                <w:szCs w:val="24"/>
              </w:rPr>
              <w:lastRenderedPageBreak/>
              <w:t xml:space="preserve">original </w:t>
            </w:r>
            <w:r w:rsidR="009B3BC4" w:rsidRPr="00AE0294">
              <w:rPr>
                <w:rFonts w:cstheme="minorHAnsi"/>
                <w:color w:val="000000"/>
                <w:sz w:val="24"/>
                <w:szCs w:val="24"/>
              </w:rPr>
              <w:t xml:space="preserve">Tariff </w:t>
            </w:r>
            <w:r w:rsidRPr="00AE0294">
              <w:rPr>
                <w:rFonts w:cstheme="minorHAnsi"/>
                <w:color w:val="000000"/>
                <w:sz w:val="24"/>
                <w:szCs w:val="24"/>
              </w:rPr>
              <w:t>determination order</w:t>
            </w:r>
          </w:p>
        </w:tc>
        <w:tc>
          <w:tcPr>
            <w:tcW w:w="4111" w:type="dxa"/>
            <w:tcBorders>
              <w:top w:val="single" w:sz="6" w:space="0" w:color="000000"/>
              <w:left w:val="single" w:sz="6" w:space="0" w:color="000000"/>
              <w:bottom w:val="single" w:sz="6" w:space="0" w:color="000000"/>
              <w:right w:val="single" w:sz="6" w:space="0" w:color="000000"/>
            </w:tcBorders>
          </w:tcPr>
          <w:p w:rsidR="00657C48" w:rsidRPr="00AE0294" w:rsidRDefault="00476730" w:rsidP="00BC3A95">
            <w:pPr>
              <w:pStyle w:val="ListParagraph"/>
              <w:numPr>
                <w:ilvl w:val="0"/>
                <w:numId w:val="17"/>
              </w:numPr>
              <w:tabs>
                <w:tab w:val="left" w:pos="1833"/>
              </w:tabs>
              <w:autoSpaceDE w:val="0"/>
              <w:autoSpaceDN w:val="0"/>
              <w:spacing w:line="360" w:lineRule="auto"/>
              <w:ind w:left="263"/>
              <w:rPr>
                <w:rFonts w:asciiTheme="minorHAnsi" w:hAnsiTheme="minorHAnsi" w:cstheme="minorHAnsi"/>
                <w:bCs/>
                <w:color w:val="000000"/>
              </w:rPr>
            </w:pPr>
            <w:r w:rsidRPr="00AE0294">
              <w:rPr>
                <w:rFonts w:asciiTheme="minorHAnsi" w:hAnsiTheme="minorHAnsi" w:cstheme="minorHAnsi"/>
                <w:bCs/>
                <w:color w:val="000000"/>
                <w:lang w:val="en-IN"/>
              </w:rPr>
              <w:lastRenderedPageBreak/>
              <w:t xml:space="preserve">The Hon’ble Commission </w:t>
            </w:r>
            <w:r w:rsidR="00E37E88" w:rsidRPr="00AE0294">
              <w:rPr>
                <w:rFonts w:asciiTheme="minorHAnsi" w:hAnsiTheme="minorHAnsi" w:cstheme="minorHAnsi"/>
                <w:bCs/>
                <w:color w:val="000000"/>
                <w:lang w:val="en-IN"/>
              </w:rPr>
              <w:t xml:space="preserve">at Para </w:t>
            </w:r>
            <w:r w:rsidR="00282014" w:rsidRPr="00AE0294">
              <w:rPr>
                <w:rFonts w:asciiTheme="minorHAnsi" w:hAnsiTheme="minorHAnsi" w:cstheme="minorHAnsi"/>
                <w:bCs/>
                <w:color w:val="000000"/>
                <w:lang w:val="en-IN"/>
              </w:rPr>
              <w:t>3.67</w:t>
            </w:r>
            <w:r w:rsidR="00E37E88" w:rsidRPr="00AE0294">
              <w:rPr>
                <w:rFonts w:asciiTheme="minorHAnsi" w:hAnsiTheme="minorHAnsi" w:cstheme="minorHAnsi"/>
                <w:bCs/>
                <w:color w:val="000000"/>
                <w:lang w:val="en-IN"/>
              </w:rPr>
              <w:t xml:space="preserve"> </w:t>
            </w:r>
            <w:r w:rsidR="00282014" w:rsidRPr="00AE0294">
              <w:rPr>
                <w:rFonts w:asciiTheme="minorHAnsi" w:hAnsiTheme="minorHAnsi" w:cstheme="minorHAnsi"/>
                <w:bCs/>
                <w:color w:val="000000"/>
                <w:lang w:val="en-IN"/>
              </w:rPr>
              <w:t xml:space="preserve">and Table 16 </w:t>
            </w:r>
            <w:r w:rsidR="00E37E88" w:rsidRPr="00AE0294">
              <w:rPr>
                <w:rFonts w:asciiTheme="minorHAnsi" w:hAnsiTheme="minorHAnsi" w:cstheme="minorHAnsi"/>
                <w:bCs/>
                <w:color w:val="000000"/>
                <w:lang w:val="en-IN"/>
              </w:rPr>
              <w:t>of</w:t>
            </w:r>
            <w:r w:rsidRPr="00AE0294">
              <w:rPr>
                <w:rFonts w:asciiTheme="minorHAnsi" w:hAnsiTheme="minorHAnsi" w:cstheme="minorHAnsi"/>
                <w:bCs/>
                <w:color w:val="000000"/>
                <w:lang w:val="en-IN"/>
              </w:rPr>
              <w:t xml:space="preserve"> </w:t>
            </w:r>
            <w:r w:rsidR="00282014" w:rsidRPr="00AE0294">
              <w:rPr>
                <w:rFonts w:asciiTheme="minorHAnsi" w:hAnsiTheme="minorHAnsi" w:cstheme="minorHAnsi"/>
                <w:bCs/>
                <w:color w:val="000000"/>
                <w:lang w:val="en-IN"/>
              </w:rPr>
              <w:t xml:space="preserve">the </w:t>
            </w:r>
            <w:r w:rsidRPr="00AE0294">
              <w:rPr>
                <w:rFonts w:asciiTheme="minorHAnsi" w:hAnsiTheme="minorHAnsi" w:cstheme="minorHAnsi"/>
                <w:bCs/>
                <w:color w:val="000000"/>
                <w:lang w:val="en-IN"/>
              </w:rPr>
              <w:t>Tariff Order dated 23.02.2008</w:t>
            </w:r>
            <w:r w:rsidR="009B3BC4" w:rsidRPr="00AE0294">
              <w:rPr>
                <w:rFonts w:asciiTheme="minorHAnsi" w:hAnsiTheme="minorHAnsi" w:cstheme="minorHAnsi"/>
                <w:bCs/>
                <w:color w:val="000000"/>
                <w:lang w:val="en-IN"/>
              </w:rPr>
              <w:t xml:space="preserve"> has </w:t>
            </w:r>
            <w:r w:rsidR="00282014" w:rsidRPr="00AE0294">
              <w:rPr>
                <w:rFonts w:asciiTheme="minorHAnsi" w:hAnsiTheme="minorHAnsi" w:cstheme="minorHAnsi"/>
                <w:bCs/>
                <w:color w:val="000000"/>
                <w:lang w:val="en-IN"/>
              </w:rPr>
              <w:t>considered</w:t>
            </w:r>
            <w:r w:rsidR="00657C48" w:rsidRPr="00AE0294">
              <w:rPr>
                <w:rFonts w:asciiTheme="minorHAnsi" w:hAnsiTheme="minorHAnsi" w:cstheme="minorHAnsi"/>
                <w:bCs/>
                <w:color w:val="000000"/>
                <w:lang w:val="en-IN"/>
              </w:rPr>
              <w:t>:</w:t>
            </w:r>
          </w:p>
          <w:p w:rsidR="00657C48" w:rsidRPr="00AE0294" w:rsidRDefault="00DF3C86" w:rsidP="00BC3A95">
            <w:pPr>
              <w:pStyle w:val="ListParagraph"/>
              <w:numPr>
                <w:ilvl w:val="2"/>
                <w:numId w:val="10"/>
              </w:numPr>
              <w:tabs>
                <w:tab w:val="left" w:pos="1833"/>
              </w:tabs>
              <w:autoSpaceDE w:val="0"/>
              <w:autoSpaceDN w:val="0"/>
              <w:spacing w:line="360" w:lineRule="auto"/>
              <w:ind w:left="603"/>
              <w:rPr>
                <w:rFonts w:asciiTheme="minorHAnsi" w:hAnsiTheme="minorHAnsi" w:cstheme="minorHAnsi"/>
                <w:bCs/>
                <w:color w:val="000000"/>
              </w:rPr>
            </w:pPr>
            <w:r w:rsidRPr="00AE0294">
              <w:rPr>
                <w:rFonts w:asciiTheme="minorHAnsi" w:hAnsiTheme="minorHAnsi" w:cstheme="minorHAnsi"/>
                <w:bCs/>
                <w:color w:val="000000"/>
              </w:rPr>
              <w:t>F</w:t>
            </w:r>
            <w:r w:rsidR="00E37E88" w:rsidRPr="00AE0294">
              <w:rPr>
                <w:rFonts w:asciiTheme="minorHAnsi" w:hAnsiTheme="minorHAnsi" w:cstheme="minorHAnsi"/>
                <w:bCs/>
                <w:color w:val="000000"/>
              </w:rPr>
              <w:t>unding of assets covered under transfer scheme as per the funding provided in Balance Sheet of Transfer Scheme, 2001.</w:t>
            </w:r>
          </w:p>
          <w:p w:rsidR="009B3BC4" w:rsidRPr="00AE0294" w:rsidRDefault="009B3BC4" w:rsidP="00BC3A95">
            <w:pPr>
              <w:pStyle w:val="ListParagraph"/>
              <w:numPr>
                <w:ilvl w:val="2"/>
                <w:numId w:val="10"/>
              </w:numPr>
              <w:tabs>
                <w:tab w:val="left" w:pos="1833"/>
              </w:tabs>
              <w:autoSpaceDE w:val="0"/>
              <w:autoSpaceDN w:val="0"/>
              <w:spacing w:line="360" w:lineRule="auto"/>
              <w:ind w:left="603"/>
              <w:rPr>
                <w:rFonts w:asciiTheme="minorHAnsi" w:hAnsiTheme="minorHAnsi" w:cstheme="minorHAnsi"/>
                <w:bCs/>
                <w:color w:val="000000"/>
              </w:rPr>
            </w:pPr>
            <w:r w:rsidRPr="00AE0294">
              <w:rPr>
                <w:rFonts w:asciiTheme="minorHAnsi" w:hAnsiTheme="minorHAnsi" w:cstheme="minorHAnsi"/>
                <w:bCs/>
                <w:color w:val="000000"/>
              </w:rPr>
              <w:lastRenderedPageBreak/>
              <w:t>The funding of new assets capitalised during FY 2002-03 to FY 2006-07</w:t>
            </w:r>
            <w:r w:rsidR="006B6ECA" w:rsidRPr="00AE0294">
              <w:rPr>
                <w:rFonts w:asciiTheme="minorHAnsi" w:hAnsiTheme="minorHAnsi" w:cstheme="minorHAnsi"/>
                <w:bCs/>
                <w:color w:val="000000"/>
              </w:rPr>
              <w:t xml:space="preserve"> were considered i</w:t>
            </w:r>
            <w:r w:rsidRPr="00AE0294">
              <w:rPr>
                <w:rFonts w:asciiTheme="minorHAnsi" w:hAnsiTheme="minorHAnsi" w:cstheme="minorHAnsi"/>
                <w:bCs/>
                <w:color w:val="000000"/>
              </w:rPr>
              <w:t>n the normative debt-equity ratio of 70:30.</w:t>
            </w:r>
          </w:p>
          <w:p w:rsidR="00922260" w:rsidRPr="00AE0294" w:rsidRDefault="00E37E88" w:rsidP="00BC3A95">
            <w:pPr>
              <w:pStyle w:val="ListParagraph"/>
              <w:numPr>
                <w:ilvl w:val="0"/>
                <w:numId w:val="17"/>
              </w:numPr>
              <w:tabs>
                <w:tab w:val="left" w:pos="1833"/>
              </w:tabs>
              <w:autoSpaceDE w:val="0"/>
              <w:autoSpaceDN w:val="0"/>
              <w:spacing w:line="360" w:lineRule="auto"/>
              <w:ind w:left="263"/>
              <w:rPr>
                <w:rFonts w:asciiTheme="minorHAnsi" w:hAnsiTheme="minorHAnsi" w:cstheme="minorHAnsi"/>
                <w:bCs/>
                <w:color w:val="000000"/>
              </w:rPr>
            </w:pPr>
            <w:r w:rsidRPr="00AE0294">
              <w:rPr>
                <w:rFonts w:asciiTheme="minorHAnsi" w:hAnsiTheme="minorHAnsi" w:cstheme="minorHAnsi"/>
                <w:bCs/>
                <w:color w:val="000000"/>
                <w:lang w:val="en-IN"/>
              </w:rPr>
              <w:t>Hon’ble Commission</w:t>
            </w:r>
            <w:r w:rsidR="00DF3C86" w:rsidRPr="00AE0294">
              <w:rPr>
                <w:rFonts w:asciiTheme="minorHAnsi" w:hAnsiTheme="minorHAnsi" w:cstheme="minorHAnsi"/>
                <w:bCs/>
                <w:color w:val="000000"/>
                <w:lang w:val="en-IN"/>
              </w:rPr>
              <w:t xml:space="preserve"> at</w:t>
            </w:r>
            <w:r w:rsidRPr="00AE0294">
              <w:rPr>
                <w:rFonts w:asciiTheme="minorHAnsi" w:hAnsiTheme="minorHAnsi" w:cstheme="minorHAnsi"/>
                <w:bCs/>
                <w:color w:val="000000"/>
                <w:lang w:val="en-IN"/>
              </w:rPr>
              <w:t xml:space="preserve"> </w:t>
            </w:r>
            <w:r w:rsidR="000738F8" w:rsidRPr="00AE0294">
              <w:rPr>
                <w:rFonts w:asciiTheme="minorHAnsi" w:hAnsiTheme="minorHAnsi" w:cstheme="minorHAnsi"/>
                <w:bCs/>
                <w:color w:val="000000"/>
                <w:lang w:val="en-IN"/>
              </w:rPr>
              <w:t xml:space="preserve">Para 5.218 Table 192 of Tariff Order dated 26.08.2011, Para 4.282 Table 135 of Tariff Order dated 13.07.2012, Para 4.130 Table 109 of Tariff Order dated 31.07.2013 and Para 4.139 Table 4.30 of Tariff Order dated </w:t>
            </w:r>
            <w:r w:rsidR="00DF3C86" w:rsidRPr="00AE0294">
              <w:rPr>
                <w:rFonts w:asciiTheme="minorHAnsi" w:hAnsiTheme="minorHAnsi" w:cstheme="minorHAnsi"/>
                <w:bCs/>
                <w:color w:val="000000"/>
                <w:lang w:val="en-IN"/>
              </w:rPr>
              <w:t xml:space="preserve"> </w:t>
            </w:r>
            <w:r w:rsidR="009A4388" w:rsidRPr="00AE0294">
              <w:rPr>
                <w:rFonts w:asciiTheme="minorHAnsi" w:hAnsiTheme="minorHAnsi" w:cstheme="minorHAnsi"/>
                <w:bCs/>
                <w:color w:val="000000"/>
                <w:lang w:val="en-IN"/>
              </w:rPr>
              <w:t>2</w:t>
            </w:r>
            <w:r w:rsidR="000738F8" w:rsidRPr="00AE0294">
              <w:rPr>
                <w:rFonts w:asciiTheme="minorHAnsi" w:hAnsiTheme="minorHAnsi" w:cstheme="minorHAnsi"/>
                <w:bCs/>
                <w:color w:val="000000"/>
                <w:lang w:val="en-IN"/>
              </w:rPr>
              <w:t xml:space="preserve">3.07.2014 </w:t>
            </w:r>
            <w:r w:rsidR="00DF3C86" w:rsidRPr="00AE0294">
              <w:rPr>
                <w:rFonts w:asciiTheme="minorHAnsi" w:hAnsiTheme="minorHAnsi" w:cstheme="minorHAnsi"/>
                <w:bCs/>
                <w:color w:val="000000"/>
                <w:lang w:val="en-IN"/>
              </w:rPr>
              <w:t xml:space="preserve">continued with the same methodology </w:t>
            </w:r>
            <w:r w:rsidR="00086F93" w:rsidRPr="00AE0294">
              <w:rPr>
                <w:rFonts w:asciiTheme="minorHAnsi" w:hAnsiTheme="minorHAnsi" w:cstheme="minorHAnsi"/>
                <w:bCs/>
                <w:color w:val="000000"/>
                <w:lang w:val="en-IN"/>
              </w:rPr>
              <w:t xml:space="preserve">for the assets inherited by Transfer Scheme as well as new assets capitalised upto FY 2013-14, </w:t>
            </w:r>
            <w:r w:rsidR="00DF3C86" w:rsidRPr="00AE0294">
              <w:rPr>
                <w:rFonts w:asciiTheme="minorHAnsi" w:hAnsiTheme="minorHAnsi" w:cstheme="minorHAnsi"/>
                <w:bCs/>
                <w:color w:val="000000"/>
                <w:lang w:val="en-IN"/>
              </w:rPr>
              <w:t xml:space="preserve">as per principles laid down in the </w:t>
            </w:r>
            <w:r w:rsidRPr="00AE0294">
              <w:rPr>
                <w:rFonts w:asciiTheme="minorHAnsi" w:hAnsiTheme="minorHAnsi" w:cstheme="minorHAnsi"/>
                <w:bCs/>
                <w:color w:val="000000"/>
                <w:lang w:val="en-IN"/>
              </w:rPr>
              <w:t xml:space="preserve"> </w:t>
            </w:r>
            <w:r w:rsidR="00DF3C86" w:rsidRPr="00AE0294">
              <w:rPr>
                <w:rFonts w:asciiTheme="minorHAnsi" w:hAnsiTheme="minorHAnsi" w:cstheme="minorHAnsi"/>
                <w:bCs/>
                <w:color w:val="000000"/>
                <w:lang w:val="en-IN"/>
              </w:rPr>
              <w:t>Tariff Order dated 23.02.2008.</w:t>
            </w:r>
          </w:p>
        </w:tc>
        <w:tc>
          <w:tcPr>
            <w:tcW w:w="3969" w:type="dxa"/>
            <w:tcBorders>
              <w:top w:val="single" w:sz="6" w:space="0" w:color="000000"/>
              <w:left w:val="single" w:sz="6" w:space="0" w:color="000000"/>
              <w:bottom w:val="single" w:sz="6" w:space="0" w:color="000000"/>
              <w:right w:val="single" w:sz="6" w:space="0" w:color="000000"/>
            </w:tcBorders>
          </w:tcPr>
          <w:p w:rsidR="00657C48" w:rsidRPr="00AE0294" w:rsidRDefault="00476730" w:rsidP="00BC3A95">
            <w:pPr>
              <w:pStyle w:val="ListParagraph"/>
              <w:numPr>
                <w:ilvl w:val="0"/>
                <w:numId w:val="17"/>
              </w:numPr>
              <w:tabs>
                <w:tab w:val="left" w:pos="1833"/>
              </w:tabs>
              <w:autoSpaceDE w:val="0"/>
              <w:autoSpaceDN w:val="0"/>
              <w:spacing w:line="360" w:lineRule="auto"/>
              <w:ind w:left="263"/>
              <w:rPr>
                <w:rFonts w:asciiTheme="minorHAnsi" w:hAnsiTheme="minorHAnsi" w:cstheme="minorHAnsi"/>
                <w:bCs/>
                <w:color w:val="000000"/>
              </w:rPr>
            </w:pPr>
            <w:r w:rsidRPr="00AE0294">
              <w:rPr>
                <w:rFonts w:asciiTheme="minorHAnsi" w:hAnsiTheme="minorHAnsi" w:cstheme="minorHAnsi"/>
                <w:bCs/>
                <w:color w:val="000000"/>
                <w:lang w:val="en-IN"/>
              </w:rPr>
              <w:lastRenderedPageBreak/>
              <w:t xml:space="preserve">Hon’ble Commission at Para 3.180 in Tariff Order dated 29.09.2015 </w:t>
            </w:r>
            <w:r w:rsidRPr="00AE0294">
              <w:rPr>
                <w:rFonts w:asciiTheme="minorHAnsi" w:hAnsiTheme="minorHAnsi" w:cstheme="minorHAnsi"/>
                <w:b/>
                <w:bCs/>
                <w:color w:val="000000"/>
                <w:u w:val="single"/>
                <w:lang w:val="en-IN"/>
              </w:rPr>
              <w:t xml:space="preserve">has </w:t>
            </w:r>
            <w:r w:rsidR="00282014" w:rsidRPr="00AE0294">
              <w:rPr>
                <w:rFonts w:asciiTheme="minorHAnsi" w:hAnsiTheme="minorHAnsi" w:cstheme="minorHAnsi"/>
                <w:b/>
                <w:bCs/>
                <w:color w:val="000000"/>
                <w:u w:val="single"/>
                <w:lang w:val="en-IN"/>
              </w:rPr>
              <w:t>reopened the previous Orders and has</w:t>
            </w:r>
            <w:r w:rsidR="00657C48" w:rsidRPr="00AE0294">
              <w:rPr>
                <w:rFonts w:asciiTheme="minorHAnsi" w:hAnsiTheme="minorHAnsi" w:cstheme="minorHAnsi"/>
                <w:b/>
                <w:bCs/>
                <w:color w:val="000000"/>
                <w:u w:val="single"/>
                <w:lang w:val="en-IN"/>
              </w:rPr>
              <w:t xml:space="preserve"> considered:</w:t>
            </w:r>
          </w:p>
          <w:p w:rsidR="00657C48" w:rsidRPr="00AE0294" w:rsidRDefault="00DF3C86" w:rsidP="00BC3A95">
            <w:pPr>
              <w:pStyle w:val="ListParagraph"/>
              <w:numPr>
                <w:ilvl w:val="0"/>
                <w:numId w:val="20"/>
              </w:numPr>
              <w:tabs>
                <w:tab w:val="left" w:pos="1833"/>
              </w:tabs>
              <w:autoSpaceDE w:val="0"/>
              <w:autoSpaceDN w:val="0"/>
              <w:spacing w:line="360" w:lineRule="auto"/>
              <w:ind w:left="538"/>
              <w:rPr>
                <w:rFonts w:asciiTheme="minorHAnsi" w:hAnsiTheme="minorHAnsi" w:cstheme="minorHAnsi"/>
                <w:bCs/>
                <w:color w:val="000000"/>
              </w:rPr>
            </w:pPr>
            <w:r w:rsidRPr="00AE0294">
              <w:rPr>
                <w:rFonts w:asciiTheme="minorHAnsi" w:hAnsiTheme="minorHAnsi" w:cstheme="minorHAnsi"/>
                <w:b/>
                <w:bCs/>
                <w:color w:val="000000"/>
                <w:u w:val="single"/>
              </w:rPr>
              <w:t>D</w:t>
            </w:r>
            <w:r w:rsidR="00282014" w:rsidRPr="00AE0294">
              <w:rPr>
                <w:rFonts w:asciiTheme="minorHAnsi" w:hAnsiTheme="minorHAnsi" w:cstheme="minorHAnsi"/>
                <w:b/>
                <w:bCs/>
                <w:color w:val="000000"/>
                <w:u w:val="single"/>
              </w:rPr>
              <w:t>ifferent debt equity ratio of the assets inherited vide transfer scheme  and;</w:t>
            </w:r>
          </w:p>
          <w:p w:rsidR="00922260" w:rsidRPr="00AE0294" w:rsidRDefault="00282014" w:rsidP="00BC3A95">
            <w:pPr>
              <w:pStyle w:val="ListParagraph"/>
              <w:numPr>
                <w:ilvl w:val="0"/>
                <w:numId w:val="20"/>
              </w:numPr>
              <w:tabs>
                <w:tab w:val="left" w:pos="1833"/>
              </w:tabs>
              <w:autoSpaceDE w:val="0"/>
              <w:autoSpaceDN w:val="0"/>
              <w:spacing w:line="360" w:lineRule="auto"/>
              <w:ind w:left="538"/>
              <w:rPr>
                <w:rFonts w:asciiTheme="minorHAnsi" w:hAnsiTheme="minorHAnsi" w:cstheme="minorHAnsi"/>
                <w:bCs/>
                <w:color w:val="000000"/>
              </w:rPr>
            </w:pPr>
            <w:r w:rsidRPr="00AE0294">
              <w:rPr>
                <w:rFonts w:asciiTheme="minorHAnsi" w:hAnsiTheme="minorHAnsi" w:cstheme="minorHAnsi"/>
                <w:b/>
                <w:bCs/>
                <w:color w:val="000000"/>
                <w:u w:val="single"/>
                <w:lang w:val="en-IN"/>
              </w:rPr>
              <w:lastRenderedPageBreak/>
              <w:t>For the new assets</w:t>
            </w:r>
            <w:r w:rsidR="00657C48" w:rsidRPr="00AE0294">
              <w:rPr>
                <w:rFonts w:asciiTheme="minorHAnsi" w:hAnsiTheme="minorHAnsi" w:cstheme="minorHAnsi"/>
                <w:b/>
                <w:bCs/>
                <w:color w:val="000000"/>
                <w:u w:val="single"/>
                <w:lang w:val="en-IN"/>
              </w:rPr>
              <w:t xml:space="preserve"> capitalised,</w:t>
            </w:r>
            <w:r w:rsidRPr="00AE0294">
              <w:rPr>
                <w:rFonts w:asciiTheme="minorHAnsi" w:hAnsiTheme="minorHAnsi" w:cstheme="minorHAnsi"/>
                <w:b/>
                <w:bCs/>
                <w:color w:val="000000"/>
                <w:u w:val="single"/>
                <w:lang w:val="en-IN"/>
              </w:rPr>
              <w:t xml:space="preserve"> considered a debt equity ratio which is different from normative 70:30 ratio.</w:t>
            </w:r>
          </w:p>
          <w:p w:rsidR="00657C48" w:rsidRPr="00AE0294" w:rsidRDefault="00657C48" w:rsidP="00657C48">
            <w:pPr>
              <w:tabs>
                <w:tab w:val="left" w:pos="1833"/>
              </w:tabs>
              <w:autoSpaceDE w:val="0"/>
              <w:autoSpaceDN w:val="0"/>
              <w:spacing w:line="360" w:lineRule="auto"/>
              <w:ind w:left="203"/>
              <w:rPr>
                <w:rFonts w:cstheme="minorHAnsi"/>
                <w:bCs/>
                <w:color w:val="000000"/>
                <w:sz w:val="24"/>
                <w:szCs w:val="24"/>
              </w:rPr>
            </w:pPr>
          </w:p>
        </w:tc>
        <w:tc>
          <w:tcPr>
            <w:tcW w:w="3537" w:type="dxa"/>
            <w:tcBorders>
              <w:top w:val="single" w:sz="6" w:space="0" w:color="000000"/>
              <w:left w:val="single" w:sz="6" w:space="0" w:color="000000"/>
              <w:bottom w:val="single" w:sz="6" w:space="0" w:color="000000"/>
              <w:right w:val="single" w:sz="6" w:space="0" w:color="000000"/>
            </w:tcBorders>
          </w:tcPr>
          <w:p w:rsidR="006B6ECA" w:rsidRPr="00AE0294" w:rsidRDefault="00086F93" w:rsidP="00BC3A95">
            <w:pPr>
              <w:pStyle w:val="ListParagraph"/>
              <w:numPr>
                <w:ilvl w:val="0"/>
                <w:numId w:val="17"/>
              </w:numPr>
              <w:tabs>
                <w:tab w:val="left" w:pos="1833"/>
              </w:tabs>
              <w:autoSpaceDE w:val="0"/>
              <w:autoSpaceDN w:val="0"/>
              <w:spacing w:line="360" w:lineRule="auto"/>
              <w:ind w:left="263"/>
              <w:rPr>
                <w:rFonts w:asciiTheme="minorHAnsi" w:hAnsiTheme="minorHAnsi" w:cstheme="minorHAnsi"/>
              </w:rPr>
            </w:pPr>
            <w:r w:rsidRPr="00AE0294">
              <w:rPr>
                <w:rFonts w:asciiTheme="minorHAnsi" w:hAnsiTheme="minorHAnsi" w:cstheme="minorHAnsi"/>
              </w:rPr>
              <w:lastRenderedPageBreak/>
              <w:t xml:space="preserve">The Petitioner requests the Hon’ble Commission to </w:t>
            </w:r>
            <w:r w:rsidR="006B6ECA" w:rsidRPr="00AE0294">
              <w:rPr>
                <w:rFonts w:asciiTheme="minorHAnsi" w:hAnsiTheme="minorHAnsi" w:cstheme="minorHAnsi"/>
              </w:rPr>
              <w:t>recompute the RoE, interest during the year and RoCE based on the following principles:</w:t>
            </w:r>
          </w:p>
          <w:p w:rsidR="006B6ECA" w:rsidRPr="00AE0294" w:rsidRDefault="006B6ECA" w:rsidP="00BC3A95">
            <w:pPr>
              <w:pStyle w:val="ListParagraph"/>
              <w:numPr>
                <w:ilvl w:val="0"/>
                <w:numId w:val="21"/>
              </w:numPr>
              <w:tabs>
                <w:tab w:val="left" w:pos="1833"/>
              </w:tabs>
              <w:autoSpaceDE w:val="0"/>
              <w:autoSpaceDN w:val="0"/>
              <w:spacing w:line="360" w:lineRule="auto"/>
              <w:ind w:left="603"/>
              <w:rPr>
                <w:rFonts w:asciiTheme="minorHAnsi" w:hAnsiTheme="minorHAnsi" w:cstheme="minorHAnsi"/>
                <w:bCs/>
                <w:color w:val="000000"/>
              </w:rPr>
            </w:pPr>
            <w:r w:rsidRPr="00AE0294">
              <w:rPr>
                <w:rFonts w:asciiTheme="minorHAnsi" w:hAnsiTheme="minorHAnsi" w:cstheme="minorHAnsi"/>
                <w:bCs/>
                <w:color w:val="000000"/>
              </w:rPr>
              <w:t xml:space="preserve">Funding of assets covered under transfer scheme as </w:t>
            </w:r>
            <w:r w:rsidRPr="00AE0294">
              <w:rPr>
                <w:rFonts w:asciiTheme="minorHAnsi" w:hAnsiTheme="minorHAnsi" w:cstheme="minorHAnsi"/>
                <w:bCs/>
                <w:color w:val="000000"/>
              </w:rPr>
              <w:lastRenderedPageBreak/>
              <w:t>per the funding provided in Balance Sheet of Transfer Scheme, 2001.</w:t>
            </w:r>
          </w:p>
          <w:p w:rsidR="006B6ECA" w:rsidRPr="00AE0294" w:rsidRDefault="006B6ECA" w:rsidP="00BC3A95">
            <w:pPr>
              <w:pStyle w:val="ListParagraph"/>
              <w:numPr>
                <w:ilvl w:val="0"/>
                <w:numId w:val="21"/>
              </w:numPr>
              <w:tabs>
                <w:tab w:val="left" w:pos="1833"/>
              </w:tabs>
              <w:autoSpaceDE w:val="0"/>
              <w:autoSpaceDN w:val="0"/>
              <w:spacing w:line="360" w:lineRule="auto"/>
              <w:ind w:left="603"/>
              <w:rPr>
                <w:rFonts w:asciiTheme="minorHAnsi" w:hAnsiTheme="minorHAnsi" w:cstheme="minorHAnsi"/>
                <w:bCs/>
                <w:color w:val="000000"/>
              </w:rPr>
            </w:pPr>
            <w:r w:rsidRPr="00AE0294">
              <w:rPr>
                <w:rFonts w:asciiTheme="minorHAnsi" w:hAnsiTheme="minorHAnsi" w:cstheme="minorHAnsi"/>
                <w:bCs/>
                <w:color w:val="000000"/>
              </w:rPr>
              <w:t>The funding of new assets capitalised from FY 2002-03 onwards in the normative debt-equity ratio of 70:30.</w:t>
            </w:r>
          </w:p>
          <w:p w:rsidR="00922260" w:rsidRPr="00AE0294" w:rsidRDefault="006D6898" w:rsidP="00BC3A95">
            <w:pPr>
              <w:pStyle w:val="ListParagraph"/>
              <w:numPr>
                <w:ilvl w:val="0"/>
                <w:numId w:val="17"/>
              </w:numPr>
              <w:tabs>
                <w:tab w:val="left" w:pos="1833"/>
              </w:tabs>
              <w:autoSpaceDE w:val="0"/>
              <w:autoSpaceDN w:val="0"/>
              <w:spacing w:line="360" w:lineRule="auto"/>
              <w:ind w:left="263"/>
              <w:rPr>
                <w:rFonts w:asciiTheme="minorHAnsi" w:hAnsiTheme="minorHAnsi" w:cstheme="minorHAnsi"/>
              </w:rPr>
            </w:pPr>
            <w:r w:rsidRPr="00AE0294">
              <w:rPr>
                <w:rFonts w:asciiTheme="minorHAnsi" w:hAnsiTheme="minorHAnsi" w:cstheme="minorHAnsi"/>
              </w:rPr>
              <w:t xml:space="preserve">The financial impact is already included in </w:t>
            </w:r>
            <w:r w:rsidR="00765E76" w:rsidRPr="00AE0294">
              <w:rPr>
                <w:rFonts w:asciiTheme="minorHAnsi" w:hAnsiTheme="minorHAnsi" w:cstheme="minorHAnsi"/>
              </w:rPr>
              <w:t xml:space="preserve">impact at Table for </w:t>
            </w:r>
            <w:r w:rsidR="00833F4D" w:rsidRPr="00AE0294">
              <w:rPr>
                <w:rFonts w:asciiTheme="minorHAnsi" w:hAnsiTheme="minorHAnsi" w:cstheme="minorHAnsi"/>
              </w:rPr>
              <w:t xml:space="preserve">Category </w:t>
            </w:r>
            <w:r w:rsidR="00765E76" w:rsidRPr="00AE0294">
              <w:rPr>
                <w:rFonts w:asciiTheme="minorHAnsi" w:hAnsiTheme="minorHAnsi" w:cstheme="minorHAnsi"/>
              </w:rPr>
              <w:t>1-A(i) of this petition.</w:t>
            </w:r>
          </w:p>
        </w:tc>
      </w:tr>
      <w:tr w:rsidR="00657C48" w:rsidRPr="00AE0294" w:rsidTr="009249FD">
        <w:trPr>
          <w:trHeight w:val="970"/>
        </w:trPr>
        <w:tc>
          <w:tcPr>
            <w:tcW w:w="745" w:type="dxa"/>
            <w:tcBorders>
              <w:top w:val="single" w:sz="6" w:space="0" w:color="000000"/>
              <w:left w:val="single" w:sz="6" w:space="0" w:color="000000"/>
              <w:bottom w:val="single" w:sz="6" w:space="0" w:color="000000"/>
              <w:right w:val="single" w:sz="6" w:space="0" w:color="000000"/>
            </w:tcBorders>
          </w:tcPr>
          <w:p w:rsidR="008C647D" w:rsidRPr="00AE0294" w:rsidRDefault="008C647D" w:rsidP="00BC3A95">
            <w:pPr>
              <w:pStyle w:val="ListParagraph"/>
              <w:widowControl/>
              <w:numPr>
                <w:ilvl w:val="0"/>
                <w:numId w:val="9"/>
              </w:numPr>
              <w:autoSpaceDE w:val="0"/>
              <w:autoSpaceDN w:val="0"/>
              <w:spacing w:line="360" w:lineRule="auto"/>
              <w:textAlignment w:val="auto"/>
              <w:rPr>
                <w:rFonts w:asciiTheme="minorHAnsi" w:hAnsiTheme="minorHAnsi" w:cstheme="minorHAnsi"/>
                <w:color w:val="000000"/>
              </w:rPr>
            </w:pPr>
          </w:p>
        </w:tc>
        <w:tc>
          <w:tcPr>
            <w:tcW w:w="2340" w:type="dxa"/>
            <w:tcBorders>
              <w:top w:val="single" w:sz="6" w:space="0" w:color="000000"/>
              <w:left w:val="single" w:sz="6" w:space="0" w:color="000000"/>
              <w:bottom w:val="single" w:sz="6" w:space="0" w:color="000000"/>
              <w:right w:val="single" w:sz="6" w:space="0" w:color="000000"/>
            </w:tcBorders>
          </w:tcPr>
          <w:p w:rsidR="008C647D" w:rsidRPr="00AE0294" w:rsidRDefault="008C647D" w:rsidP="00C67430">
            <w:pPr>
              <w:autoSpaceDE w:val="0"/>
              <w:autoSpaceDN w:val="0"/>
              <w:adjustRightInd w:val="0"/>
              <w:spacing w:after="0" w:line="360" w:lineRule="auto"/>
              <w:jc w:val="both"/>
              <w:rPr>
                <w:rFonts w:cstheme="minorHAnsi"/>
                <w:color w:val="000000"/>
                <w:sz w:val="24"/>
                <w:szCs w:val="24"/>
              </w:rPr>
            </w:pPr>
            <w:r w:rsidRPr="00AE0294">
              <w:rPr>
                <w:rFonts w:cstheme="minorHAnsi"/>
                <w:color w:val="000000"/>
                <w:sz w:val="24"/>
                <w:szCs w:val="24"/>
              </w:rPr>
              <w:t>Legal Fees and Expenses</w:t>
            </w:r>
            <w:r w:rsidR="00A9456A" w:rsidRPr="00AE0294">
              <w:rPr>
                <w:rFonts w:cstheme="minorHAnsi"/>
                <w:color w:val="000000"/>
                <w:sz w:val="24"/>
                <w:szCs w:val="24"/>
              </w:rPr>
              <w:t xml:space="preserve"> for </w:t>
            </w:r>
            <w:r w:rsidR="00A9456A" w:rsidRPr="00AE0294">
              <w:rPr>
                <w:rFonts w:cstheme="minorHAnsi"/>
                <w:sz w:val="24"/>
                <w:szCs w:val="24"/>
              </w:rPr>
              <w:t xml:space="preserve">FY 2017-18 </w:t>
            </w:r>
            <w:r w:rsidR="00C67430" w:rsidRPr="00AE0294">
              <w:rPr>
                <w:rFonts w:cstheme="minorHAnsi"/>
                <w:sz w:val="24"/>
                <w:szCs w:val="24"/>
              </w:rPr>
              <w:t>and</w:t>
            </w:r>
            <w:r w:rsidR="00A9456A" w:rsidRPr="00AE0294">
              <w:rPr>
                <w:rFonts w:cstheme="minorHAnsi"/>
                <w:sz w:val="24"/>
                <w:szCs w:val="24"/>
              </w:rPr>
              <w:t xml:space="preserve"> FY 20</w:t>
            </w:r>
            <w:r w:rsidR="00C67430" w:rsidRPr="00AE0294">
              <w:rPr>
                <w:rFonts w:cstheme="minorHAnsi"/>
                <w:sz w:val="24"/>
                <w:szCs w:val="24"/>
              </w:rPr>
              <w:t>18</w:t>
            </w:r>
            <w:r w:rsidR="00A9456A" w:rsidRPr="00AE0294">
              <w:rPr>
                <w:rFonts w:cstheme="minorHAnsi"/>
                <w:sz w:val="24"/>
                <w:szCs w:val="24"/>
              </w:rPr>
              <w:t>-</w:t>
            </w:r>
            <w:r w:rsidR="00C67430" w:rsidRPr="00AE0294">
              <w:rPr>
                <w:rFonts w:cstheme="minorHAnsi"/>
                <w:sz w:val="24"/>
                <w:szCs w:val="24"/>
              </w:rPr>
              <w:t>19</w:t>
            </w:r>
          </w:p>
        </w:tc>
        <w:tc>
          <w:tcPr>
            <w:tcW w:w="4111" w:type="dxa"/>
            <w:tcBorders>
              <w:top w:val="single" w:sz="6" w:space="0" w:color="000000"/>
              <w:left w:val="single" w:sz="6" w:space="0" w:color="000000"/>
              <w:bottom w:val="single" w:sz="6" w:space="0" w:color="000000"/>
              <w:right w:val="single" w:sz="6" w:space="0" w:color="000000"/>
            </w:tcBorders>
          </w:tcPr>
          <w:p w:rsidR="00460DE1" w:rsidRPr="00AE0294" w:rsidRDefault="00460DE1" w:rsidP="00BC3A95">
            <w:pPr>
              <w:pStyle w:val="ListParagraph"/>
              <w:numPr>
                <w:ilvl w:val="0"/>
                <w:numId w:val="17"/>
              </w:numPr>
              <w:tabs>
                <w:tab w:val="left" w:pos="1833"/>
              </w:tabs>
              <w:autoSpaceDE w:val="0"/>
              <w:autoSpaceDN w:val="0"/>
              <w:spacing w:line="360" w:lineRule="auto"/>
              <w:ind w:left="263"/>
              <w:rPr>
                <w:rFonts w:asciiTheme="minorHAnsi" w:hAnsiTheme="minorHAnsi" w:cstheme="minorHAnsi"/>
                <w:bCs/>
                <w:color w:val="000000"/>
                <w:lang w:val="en-US"/>
              </w:rPr>
            </w:pPr>
            <w:r w:rsidRPr="00AE0294">
              <w:rPr>
                <w:rFonts w:asciiTheme="minorHAnsi" w:hAnsiTheme="minorHAnsi" w:cstheme="minorHAnsi"/>
                <w:bCs/>
                <w:color w:val="000000"/>
                <w:lang w:val="en-IN"/>
              </w:rPr>
              <w:t>Hon’ble</w:t>
            </w:r>
            <w:r w:rsidRPr="00AE0294">
              <w:rPr>
                <w:rFonts w:asciiTheme="minorHAnsi" w:hAnsiTheme="minorHAnsi" w:cstheme="minorHAnsi"/>
                <w:bCs/>
                <w:color w:val="000000"/>
                <w:lang w:val="en-US"/>
              </w:rPr>
              <w:t xml:space="preserve"> Commission at Para 43 of the explanatory memorandum of Business Plan Regulations 2017 stated that </w:t>
            </w:r>
            <w:r w:rsidR="00842643" w:rsidRPr="00AE0294">
              <w:rPr>
                <w:rFonts w:asciiTheme="minorHAnsi" w:hAnsiTheme="minorHAnsi" w:cstheme="minorHAnsi"/>
                <w:bCs/>
                <w:i/>
                <w:color w:val="000000"/>
                <w:lang w:val="en-US"/>
              </w:rPr>
              <w:t>“…</w:t>
            </w:r>
            <w:r w:rsidRPr="00AE0294">
              <w:rPr>
                <w:rFonts w:asciiTheme="minorHAnsi" w:hAnsiTheme="minorHAnsi" w:cstheme="minorHAnsi"/>
                <w:bCs/>
                <w:i/>
                <w:color w:val="000000"/>
                <w:lang w:val="en-US"/>
              </w:rPr>
              <w:t>legal expenses</w:t>
            </w:r>
            <w:r w:rsidR="00842643" w:rsidRPr="00AE0294">
              <w:rPr>
                <w:rFonts w:asciiTheme="minorHAnsi" w:hAnsiTheme="minorHAnsi" w:cstheme="minorHAnsi"/>
                <w:bCs/>
                <w:i/>
                <w:color w:val="000000"/>
                <w:lang w:val="en-US"/>
              </w:rPr>
              <w:t xml:space="preserve"> incurred on cases other than aforesaid, shall be claimed by the discoms in Tariff Petitions</w:t>
            </w:r>
            <w:r w:rsidRPr="00AE0294">
              <w:rPr>
                <w:rFonts w:asciiTheme="minorHAnsi" w:hAnsiTheme="minorHAnsi" w:cstheme="minorHAnsi"/>
                <w:bCs/>
                <w:i/>
                <w:color w:val="000000"/>
                <w:lang w:val="en-US"/>
              </w:rPr>
              <w:t xml:space="preserve"> </w:t>
            </w:r>
            <w:r w:rsidR="00842643" w:rsidRPr="00AE0294">
              <w:rPr>
                <w:rFonts w:asciiTheme="minorHAnsi" w:hAnsiTheme="minorHAnsi" w:cstheme="minorHAnsi"/>
                <w:bCs/>
                <w:i/>
                <w:color w:val="000000"/>
                <w:lang w:val="en-US"/>
              </w:rPr>
              <w:t>which may be allowed separately after prudence check in true-up order for respective year</w:t>
            </w:r>
            <w:r w:rsidR="00842643" w:rsidRPr="00AE0294">
              <w:rPr>
                <w:rFonts w:asciiTheme="minorHAnsi" w:hAnsiTheme="minorHAnsi" w:cstheme="minorHAnsi"/>
                <w:bCs/>
                <w:color w:val="000000"/>
                <w:lang w:val="en-US"/>
              </w:rPr>
              <w:t>.”</w:t>
            </w:r>
          </w:p>
          <w:p w:rsidR="008C647D" w:rsidRPr="00AE0294" w:rsidRDefault="00C67430" w:rsidP="00BC3A95">
            <w:pPr>
              <w:pStyle w:val="ListParagraph"/>
              <w:numPr>
                <w:ilvl w:val="0"/>
                <w:numId w:val="17"/>
              </w:numPr>
              <w:tabs>
                <w:tab w:val="left" w:pos="1833"/>
              </w:tabs>
              <w:autoSpaceDE w:val="0"/>
              <w:autoSpaceDN w:val="0"/>
              <w:spacing w:line="360" w:lineRule="auto"/>
              <w:ind w:left="263"/>
              <w:rPr>
                <w:rFonts w:asciiTheme="minorHAnsi" w:hAnsiTheme="minorHAnsi" w:cstheme="minorHAnsi"/>
                <w:bCs/>
                <w:color w:val="000000"/>
                <w:lang w:val="en-US"/>
              </w:rPr>
            </w:pPr>
            <w:r w:rsidRPr="00AE0294">
              <w:rPr>
                <w:rFonts w:asciiTheme="minorHAnsi" w:hAnsiTheme="minorHAnsi" w:cstheme="minorHAnsi"/>
                <w:bCs/>
                <w:color w:val="000000"/>
                <w:lang w:val="en-IN"/>
              </w:rPr>
              <w:t>Further</w:t>
            </w:r>
            <w:r w:rsidR="00842643" w:rsidRPr="00AE0294">
              <w:rPr>
                <w:rFonts w:asciiTheme="minorHAnsi" w:hAnsiTheme="minorHAnsi" w:cstheme="minorHAnsi"/>
                <w:bCs/>
                <w:color w:val="000000"/>
                <w:lang w:val="en-IN"/>
              </w:rPr>
              <w:t xml:space="preserve">, </w:t>
            </w:r>
            <w:r w:rsidR="004755F5" w:rsidRPr="00AE0294">
              <w:rPr>
                <w:rFonts w:asciiTheme="minorHAnsi" w:hAnsiTheme="minorHAnsi" w:cstheme="minorHAnsi"/>
                <w:bCs/>
                <w:color w:val="000000"/>
                <w:lang w:val="en-IN"/>
              </w:rPr>
              <w:t>Hon’ble</w:t>
            </w:r>
            <w:r w:rsidR="004755F5" w:rsidRPr="00AE0294">
              <w:rPr>
                <w:rFonts w:asciiTheme="minorHAnsi" w:hAnsiTheme="minorHAnsi" w:cstheme="minorHAnsi"/>
                <w:bCs/>
                <w:color w:val="000000"/>
                <w:lang w:val="en-US"/>
              </w:rPr>
              <w:t xml:space="preserve"> Commission at Para 2.214</w:t>
            </w:r>
            <w:r w:rsidR="002769DA" w:rsidRPr="00AE0294">
              <w:rPr>
                <w:rFonts w:asciiTheme="minorHAnsi" w:hAnsiTheme="minorHAnsi" w:cstheme="minorHAnsi"/>
                <w:bCs/>
                <w:color w:val="000000"/>
                <w:lang w:val="en-US"/>
              </w:rPr>
              <w:t xml:space="preserve"> </w:t>
            </w:r>
            <w:r w:rsidR="004755F5" w:rsidRPr="00AE0294">
              <w:rPr>
                <w:rFonts w:asciiTheme="minorHAnsi" w:hAnsiTheme="minorHAnsi" w:cstheme="minorHAnsi"/>
                <w:bCs/>
                <w:color w:val="000000"/>
                <w:lang w:val="en-US"/>
              </w:rPr>
              <w:t>in its Tariff Order dated 28.03.2018</w:t>
            </w:r>
            <w:r w:rsidR="00D2435D" w:rsidRPr="00AE0294">
              <w:rPr>
                <w:rFonts w:asciiTheme="minorHAnsi" w:hAnsiTheme="minorHAnsi" w:cstheme="minorHAnsi"/>
                <w:bCs/>
                <w:color w:val="000000"/>
                <w:lang w:val="en-US"/>
              </w:rPr>
              <w:t xml:space="preserve"> and Para 3.384 of Tariff Order dated 31.07.2019</w:t>
            </w:r>
            <w:r w:rsidR="004755F5" w:rsidRPr="00AE0294">
              <w:rPr>
                <w:rFonts w:asciiTheme="minorHAnsi" w:hAnsiTheme="minorHAnsi" w:cstheme="minorHAnsi"/>
                <w:bCs/>
                <w:color w:val="000000"/>
                <w:lang w:val="en-US"/>
              </w:rPr>
              <w:t xml:space="preserve"> </w:t>
            </w:r>
            <w:r w:rsidR="002769DA" w:rsidRPr="00AE0294">
              <w:rPr>
                <w:rFonts w:asciiTheme="minorHAnsi" w:hAnsiTheme="minorHAnsi" w:cstheme="minorHAnsi"/>
                <w:bCs/>
                <w:color w:val="000000"/>
                <w:lang w:val="en-US"/>
              </w:rPr>
              <w:t xml:space="preserve">has stated that </w:t>
            </w:r>
            <w:r w:rsidR="002769DA" w:rsidRPr="00AE0294">
              <w:rPr>
                <w:rFonts w:asciiTheme="minorHAnsi" w:hAnsiTheme="minorHAnsi" w:cstheme="minorHAnsi"/>
                <w:b/>
                <w:bCs/>
                <w:color w:val="000000"/>
                <w:u w:val="single"/>
                <w:lang w:val="en-US"/>
              </w:rPr>
              <w:t>legal expenses</w:t>
            </w:r>
            <w:r w:rsidR="00D2435D" w:rsidRPr="00AE0294">
              <w:rPr>
                <w:rFonts w:asciiTheme="minorHAnsi" w:hAnsiTheme="minorHAnsi" w:cstheme="minorHAnsi"/>
                <w:b/>
                <w:bCs/>
                <w:color w:val="000000"/>
                <w:u w:val="single"/>
                <w:lang w:val="en-US"/>
              </w:rPr>
              <w:t xml:space="preserve"> is not considered while determining the norms  for O&amp;M for FY 2017-18 to FY 2019-20</w:t>
            </w:r>
            <w:r w:rsidRPr="00AE0294">
              <w:rPr>
                <w:rFonts w:asciiTheme="minorHAnsi" w:hAnsiTheme="minorHAnsi" w:cstheme="minorHAnsi"/>
                <w:b/>
                <w:bCs/>
                <w:color w:val="000000"/>
                <w:u w:val="single"/>
                <w:lang w:val="en-US"/>
              </w:rPr>
              <w:t>.</w:t>
            </w:r>
          </w:p>
        </w:tc>
        <w:tc>
          <w:tcPr>
            <w:tcW w:w="3969" w:type="dxa"/>
            <w:tcBorders>
              <w:top w:val="single" w:sz="6" w:space="0" w:color="000000"/>
              <w:left w:val="single" w:sz="6" w:space="0" w:color="000000"/>
              <w:bottom w:val="single" w:sz="6" w:space="0" w:color="000000"/>
              <w:right w:val="single" w:sz="6" w:space="0" w:color="000000"/>
            </w:tcBorders>
          </w:tcPr>
          <w:p w:rsidR="008C647D" w:rsidRPr="00AE0294" w:rsidRDefault="00D2435D" w:rsidP="00BC3A95">
            <w:pPr>
              <w:pStyle w:val="ListParagraph"/>
              <w:numPr>
                <w:ilvl w:val="0"/>
                <w:numId w:val="17"/>
              </w:numPr>
              <w:tabs>
                <w:tab w:val="left" w:pos="1833"/>
              </w:tabs>
              <w:autoSpaceDE w:val="0"/>
              <w:autoSpaceDN w:val="0"/>
              <w:spacing w:line="360" w:lineRule="auto"/>
              <w:ind w:left="263"/>
              <w:rPr>
                <w:rFonts w:asciiTheme="minorHAnsi" w:hAnsiTheme="minorHAnsi" w:cstheme="minorHAnsi"/>
                <w:bCs/>
                <w:color w:val="000000"/>
                <w:lang w:val="en-US"/>
              </w:rPr>
            </w:pPr>
            <w:r w:rsidRPr="00AE0294">
              <w:rPr>
                <w:rFonts w:asciiTheme="minorHAnsi" w:hAnsiTheme="minorHAnsi" w:cstheme="minorHAnsi"/>
                <w:bCs/>
                <w:color w:val="000000"/>
                <w:lang w:val="en-IN"/>
              </w:rPr>
              <w:t>Hon’ble</w:t>
            </w:r>
            <w:r w:rsidRPr="00AE0294">
              <w:rPr>
                <w:rFonts w:asciiTheme="minorHAnsi" w:hAnsiTheme="minorHAnsi" w:cstheme="minorHAnsi"/>
                <w:bCs/>
                <w:color w:val="000000"/>
                <w:lang w:val="en-US"/>
              </w:rPr>
              <w:t xml:space="preserve"> Commisssion at Para </w:t>
            </w:r>
            <w:r w:rsidR="00C67430" w:rsidRPr="00AE0294">
              <w:rPr>
                <w:rFonts w:asciiTheme="minorHAnsi" w:hAnsiTheme="minorHAnsi" w:cstheme="minorHAnsi"/>
                <w:bCs/>
                <w:color w:val="000000"/>
                <w:lang w:val="en-US"/>
              </w:rPr>
              <w:t>3.380</w:t>
            </w:r>
            <w:r w:rsidR="00FD7839" w:rsidRPr="00AE0294">
              <w:rPr>
                <w:rFonts w:asciiTheme="minorHAnsi" w:hAnsiTheme="minorHAnsi" w:cstheme="minorHAnsi"/>
                <w:bCs/>
                <w:color w:val="000000"/>
                <w:lang w:val="en-US"/>
              </w:rPr>
              <w:t xml:space="preserve"> </w:t>
            </w:r>
            <w:r w:rsidR="002769DA" w:rsidRPr="00AE0294">
              <w:rPr>
                <w:rFonts w:asciiTheme="minorHAnsi" w:hAnsiTheme="minorHAnsi" w:cstheme="minorHAnsi"/>
                <w:bCs/>
                <w:color w:val="000000"/>
                <w:lang w:val="en-US"/>
              </w:rPr>
              <w:t>of Tariff Ord</w:t>
            </w:r>
            <w:r w:rsidR="00842643" w:rsidRPr="00AE0294">
              <w:rPr>
                <w:rFonts w:asciiTheme="minorHAnsi" w:hAnsiTheme="minorHAnsi" w:cstheme="minorHAnsi"/>
                <w:bCs/>
                <w:color w:val="000000"/>
                <w:lang w:val="en-US"/>
              </w:rPr>
              <w:t xml:space="preserve">er dated 31.07.2019 and Para </w:t>
            </w:r>
            <w:r w:rsidR="002769DA" w:rsidRPr="00AE0294">
              <w:rPr>
                <w:rFonts w:asciiTheme="minorHAnsi" w:hAnsiTheme="minorHAnsi" w:cstheme="minorHAnsi"/>
                <w:bCs/>
                <w:color w:val="000000"/>
                <w:lang w:val="en-US"/>
              </w:rPr>
              <w:t xml:space="preserve"> </w:t>
            </w:r>
            <w:r w:rsidR="00C67430" w:rsidRPr="00AE0294">
              <w:rPr>
                <w:rFonts w:asciiTheme="minorHAnsi" w:hAnsiTheme="minorHAnsi" w:cstheme="minorHAnsi"/>
                <w:bCs/>
                <w:color w:val="000000"/>
                <w:lang w:val="en-US"/>
              </w:rPr>
              <w:t>3.226 of the</w:t>
            </w:r>
            <w:r w:rsidR="00842643" w:rsidRPr="00AE0294">
              <w:rPr>
                <w:rFonts w:asciiTheme="minorHAnsi" w:hAnsiTheme="minorHAnsi" w:cstheme="minorHAnsi"/>
                <w:bCs/>
                <w:color w:val="000000"/>
                <w:lang w:val="en-US"/>
              </w:rPr>
              <w:t xml:space="preserve"> Tariff Order dated 28.08.2020</w:t>
            </w:r>
            <w:r w:rsidR="002769DA" w:rsidRPr="00AE0294">
              <w:rPr>
                <w:rFonts w:asciiTheme="minorHAnsi" w:hAnsiTheme="minorHAnsi" w:cstheme="minorHAnsi"/>
                <w:bCs/>
                <w:color w:val="000000"/>
                <w:lang w:val="en-US"/>
              </w:rPr>
              <w:t xml:space="preserve"> </w:t>
            </w:r>
            <w:r w:rsidR="002769DA" w:rsidRPr="00AE0294">
              <w:rPr>
                <w:rFonts w:asciiTheme="minorHAnsi" w:hAnsiTheme="minorHAnsi" w:cstheme="minorHAnsi"/>
                <w:b/>
                <w:bCs/>
                <w:color w:val="000000"/>
                <w:u w:val="single"/>
                <w:lang w:val="en-US"/>
              </w:rPr>
              <w:t>has not allowed the legal ex</w:t>
            </w:r>
            <w:r w:rsidR="00842643" w:rsidRPr="00AE0294">
              <w:rPr>
                <w:rFonts w:asciiTheme="minorHAnsi" w:hAnsiTheme="minorHAnsi" w:cstheme="minorHAnsi"/>
                <w:b/>
                <w:bCs/>
                <w:color w:val="000000"/>
                <w:u w:val="single"/>
                <w:lang w:val="en-US"/>
              </w:rPr>
              <w:t>penses for FY 2017-18 and FY 20</w:t>
            </w:r>
            <w:r w:rsidR="002769DA" w:rsidRPr="00AE0294">
              <w:rPr>
                <w:rFonts w:asciiTheme="minorHAnsi" w:hAnsiTheme="minorHAnsi" w:cstheme="minorHAnsi"/>
                <w:b/>
                <w:bCs/>
                <w:color w:val="000000"/>
                <w:u w:val="single"/>
                <w:lang w:val="en-US"/>
              </w:rPr>
              <w:t>18-19</w:t>
            </w:r>
            <w:r w:rsidR="00C67430" w:rsidRPr="00AE0294">
              <w:rPr>
                <w:rFonts w:asciiTheme="minorHAnsi" w:hAnsiTheme="minorHAnsi" w:cstheme="minorHAnsi"/>
                <w:b/>
                <w:bCs/>
                <w:color w:val="000000"/>
                <w:u w:val="single"/>
                <w:lang w:val="en-US"/>
              </w:rPr>
              <w:t xml:space="preserve"> respectively.</w:t>
            </w:r>
            <w:r w:rsidR="002769DA" w:rsidRPr="00AE0294">
              <w:rPr>
                <w:rFonts w:asciiTheme="minorHAnsi" w:hAnsiTheme="minorHAnsi" w:cstheme="minorHAnsi"/>
                <w:bCs/>
                <w:color w:val="000000"/>
                <w:lang w:val="en-US"/>
              </w:rPr>
              <w:t>.</w:t>
            </w:r>
          </w:p>
        </w:tc>
        <w:tc>
          <w:tcPr>
            <w:tcW w:w="3537" w:type="dxa"/>
            <w:tcBorders>
              <w:top w:val="single" w:sz="6" w:space="0" w:color="000000"/>
              <w:left w:val="single" w:sz="6" w:space="0" w:color="000000"/>
              <w:bottom w:val="single" w:sz="6" w:space="0" w:color="000000"/>
              <w:right w:val="single" w:sz="6" w:space="0" w:color="000000"/>
            </w:tcBorders>
          </w:tcPr>
          <w:p w:rsidR="008C647D" w:rsidRPr="00AE0294" w:rsidRDefault="002769DA" w:rsidP="00BC3A95">
            <w:pPr>
              <w:pStyle w:val="ListParagraph"/>
              <w:numPr>
                <w:ilvl w:val="0"/>
                <w:numId w:val="17"/>
              </w:numPr>
              <w:tabs>
                <w:tab w:val="left" w:pos="1833"/>
              </w:tabs>
              <w:autoSpaceDE w:val="0"/>
              <w:autoSpaceDN w:val="0"/>
              <w:spacing w:line="360" w:lineRule="auto"/>
              <w:ind w:left="263"/>
              <w:rPr>
                <w:rFonts w:asciiTheme="minorHAnsi" w:hAnsiTheme="minorHAnsi" w:cstheme="minorHAnsi"/>
              </w:rPr>
            </w:pPr>
            <w:r w:rsidRPr="00AE0294">
              <w:rPr>
                <w:rFonts w:asciiTheme="minorHAnsi" w:hAnsiTheme="minorHAnsi" w:cstheme="minorHAnsi"/>
                <w:bCs/>
                <w:color w:val="000000"/>
                <w:lang w:val="en-IN"/>
              </w:rPr>
              <w:t>The</w:t>
            </w:r>
            <w:r w:rsidRPr="00AE0294">
              <w:rPr>
                <w:rFonts w:asciiTheme="minorHAnsi" w:hAnsiTheme="minorHAnsi" w:cstheme="minorHAnsi"/>
              </w:rPr>
              <w:t xml:space="preserve"> P</w:t>
            </w:r>
            <w:r w:rsidR="00A9456A" w:rsidRPr="00AE0294">
              <w:rPr>
                <w:rFonts w:asciiTheme="minorHAnsi" w:hAnsiTheme="minorHAnsi" w:cstheme="minorHAnsi"/>
              </w:rPr>
              <w:t>etitioner requests the Hon’ble Commission to allow the legal expenses for FY 2017-18 to FY 201</w:t>
            </w:r>
            <w:r w:rsidR="00C67430" w:rsidRPr="00AE0294">
              <w:rPr>
                <w:rFonts w:asciiTheme="minorHAnsi" w:hAnsiTheme="minorHAnsi" w:cstheme="minorHAnsi"/>
              </w:rPr>
              <w:t>8</w:t>
            </w:r>
            <w:r w:rsidR="00A9456A" w:rsidRPr="00AE0294">
              <w:rPr>
                <w:rFonts w:asciiTheme="minorHAnsi" w:hAnsiTheme="minorHAnsi" w:cstheme="minorHAnsi"/>
              </w:rPr>
              <w:t>-</w:t>
            </w:r>
            <w:r w:rsidR="00C67430" w:rsidRPr="00AE0294">
              <w:rPr>
                <w:rFonts w:asciiTheme="minorHAnsi" w:hAnsiTheme="minorHAnsi" w:cstheme="minorHAnsi"/>
              </w:rPr>
              <w:t>19</w:t>
            </w:r>
            <w:r w:rsidR="00A9456A" w:rsidRPr="00AE0294">
              <w:rPr>
                <w:rFonts w:asciiTheme="minorHAnsi" w:hAnsiTheme="minorHAnsi" w:cstheme="minorHAnsi"/>
              </w:rPr>
              <w:t xml:space="preserve"> amounting to ₹ </w:t>
            </w:r>
            <w:r w:rsidR="00C67430" w:rsidRPr="00AE0294">
              <w:rPr>
                <w:rFonts w:asciiTheme="minorHAnsi" w:hAnsiTheme="minorHAnsi" w:cstheme="minorHAnsi"/>
              </w:rPr>
              <w:t>39.0</w:t>
            </w:r>
            <w:r w:rsidR="00A9456A" w:rsidRPr="00AE0294">
              <w:rPr>
                <w:rFonts w:asciiTheme="minorHAnsi" w:hAnsiTheme="minorHAnsi" w:cstheme="minorHAnsi"/>
              </w:rPr>
              <w:t xml:space="preserve"> Crores (including carrying cost).</w:t>
            </w:r>
          </w:p>
          <w:p w:rsidR="00CE076B" w:rsidRPr="00AE0294" w:rsidRDefault="00101FAE" w:rsidP="00BC3A95">
            <w:pPr>
              <w:pStyle w:val="ListParagraph"/>
              <w:numPr>
                <w:ilvl w:val="0"/>
                <w:numId w:val="17"/>
              </w:numPr>
              <w:tabs>
                <w:tab w:val="left" w:pos="1833"/>
              </w:tabs>
              <w:autoSpaceDE w:val="0"/>
              <w:autoSpaceDN w:val="0"/>
              <w:spacing w:line="360" w:lineRule="auto"/>
              <w:ind w:left="263"/>
              <w:rPr>
                <w:rFonts w:asciiTheme="minorHAnsi" w:hAnsiTheme="minorHAnsi" w:cstheme="minorHAnsi"/>
              </w:rPr>
            </w:pPr>
            <w:r w:rsidRPr="00AE0294">
              <w:rPr>
                <w:rFonts w:asciiTheme="minorHAnsi" w:hAnsiTheme="minorHAnsi" w:cstheme="minorHAnsi"/>
                <w:color w:val="000000"/>
              </w:rPr>
              <w:t xml:space="preserve">The detailed computation is enclosed as </w:t>
            </w:r>
            <w:r w:rsidRPr="00AE0294">
              <w:rPr>
                <w:rFonts w:asciiTheme="minorHAnsi" w:hAnsiTheme="minorHAnsi" w:cstheme="minorHAnsi"/>
                <w:b/>
                <w:color w:val="000000"/>
              </w:rPr>
              <w:t>Annexure – 3B(ii)</w:t>
            </w:r>
            <w:r w:rsidRPr="00AE0294">
              <w:rPr>
                <w:rFonts w:asciiTheme="minorHAnsi" w:hAnsiTheme="minorHAnsi" w:cstheme="minorHAnsi"/>
                <w:color w:val="000000"/>
              </w:rPr>
              <w:t>.</w:t>
            </w:r>
          </w:p>
        </w:tc>
      </w:tr>
      <w:tr w:rsidR="00657C48" w:rsidRPr="00AE0294" w:rsidTr="009249FD">
        <w:trPr>
          <w:trHeight w:val="970"/>
        </w:trPr>
        <w:tc>
          <w:tcPr>
            <w:tcW w:w="745" w:type="dxa"/>
            <w:tcBorders>
              <w:top w:val="single" w:sz="6" w:space="0" w:color="000000"/>
              <w:left w:val="single" w:sz="6" w:space="0" w:color="000000"/>
              <w:bottom w:val="single" w:sz="6" w:space="0" w:color="000000"/>
              <w:right w:val="single" w:sz="6" w:space="0" w:color="000000"/>
            </w:tcBorders>
          </w:tcPr>
          <w:p w:rsidR="008C647D" w:rsidRPr="00AE0294" w:rsidRDefault="008C647D" w:rsidP="00BC3A95">
            <w:pPr>
              <w:pStyle w:val="ListParagraph"/>
              <w:widowControl/>
              <w:numPr>
                <w:ilvl w:val="0"/>
                <w:numId w:val="9"/>
              </w:numPr>
              <w:autoSpaceDE w:val="0"/>
              <w:autoSpaceDN w:val="0"/>
              <w:spacing w:line="360" w:lineRule="auto"/>
              <w:textAlignment w:val="auto"/>
              <w:rPr>
                <w:rFonts w:asciiTheme="minorHAnsi" w:hAnsiTheme="minorHAnsi" w:cstheme="minorHAnsi"/>
                <w:color w:val="000000"/>
              </w:rPr>
            </w:pPr>
          </w:p>
        </w:tc>
        <w:tc>
          <w:tcPr>
            <w:tcW w:w="2340" w:type="dxa"/>
            <w:tcBorders>
              <w:top w:val="single" w:sz="6" w:space="0" w:color="000000"/>
              <w:left w:val="single" w:sz="6" w:space="0" w:color="000000"/>
              <w:bottom w:val="single" w:sz="6" w:space="0" w:color="000000"/>
              <w:right w:val="single" w:sz="6" w:space="0" w:color="000000"/>
            </w:tcBorders>
          </w:tcPr>
          <w:p w:rsidR="008C647D" w:rsidRPr="00AE0294" w:rsidRDefault="004A3FC5" w:rsidP="00711116">
            <w:pPr>
              <w:autoSpaceDE w:val="0"/>
              <w:autoSpaceDN w:val="0"/>
              <w:adjustRightInd w:val="0"/>
              <w:spacing w:after="0" w:line="360" w:lineRule="auto"/>
              <w:jc w:val="both"/>
              <w:rPr>
                <w:rFonts w:cstheme="minorHAnsi"/>
                <w:color w:val="000000"/>
                <w:sz w:val="24"/>
                <w:szCs w:val="24"/>
              </w:rPr>
            </w:pPr>
            <w:r w:rsidRPr="00AE0294">
              <w:rPr>
                <w:rFonts w:cstheme="minorHAnsi"/>
                <w:color w:val="000000"/>
                <w:sz w:val="24"/>
                <w:szCs w:val="24"/>
              </w:rPr>
              <w:t>Erroneous disallowance o</w:t>
            </w:r>
            <w:r w:rsidR="000928ED" w:rsidRPr="00AE0294">
              <w:rPr>
                <w:rFonts w:cstheme="minorHAnsi"/>
                <w:color w:val="000000"/>
                <w:sz w:val="24"/>
                <w:szCs w:val="24"/>
              </w:rPr>
              <w:t>f c</w:t>
            </w:r>
            <w:r w:rsidRPr="00AE0294">
              <w:rPr>
                <w:rFonts w:cstheme="minorHAnsi"/>
                <w:color w:val="000000"/>
                <w:sz w:val="24"/>
                <w:szCs w:val="24"/>
              </w:rPr>
              <w:t>apitalisation on t</w:t>
            </w:r>
            <w:r w:rsidR="00711116" w:rsidRPr="00AE0294">
              <w:rPr>
                <w:rFonts w:cstheme="minorHAnsi"/>
                <w:color w:val="000000"/>
                <w:sz w:val="24"/>
                <w:szCs w:val="24"/>
              </w:rPr>
              <w:t>he basis o</w:t>
            </w:r>
            <w:r w:rsidR="008C647D" w:rsidRPr="00AE0294">
              <w:rPr>
                <w:rFonts w:cstheme="minorHAnsi"/>
                <w:color w:val="000000"/>
                <w:sz w:val="24"/>
                <w:szCs w:val="24"/>
              </w:rPr>
              <w:t>f TPDDL</w:t>
            </w:r>
            <w:r w:rsidR="000928ED" w:rsidRPr="00AE0294">
              <w:rPr>
                <w:rFonts w:cstheme="minorHAnsi"/>
                <w:color w:val="000000"/>
                <w:sz w:val="24"/>
                <w:szCs w:val="24"/>
              </w:rPr>
              <w:t>’s d</w:t>
            </w:r>
            <w:r w:rsidRPr="00AE0294">
              <w:rPr>
                <w:rFonts w:cstheme="minorHAnsi"/>
                <w:color w:val="000000"/>
                <w:sz w:val="24"/>
                <w:szCs w:val="24"/>
              </w:rPr>
              <w:t>ata a</w:t>
            </w:r>
            <w:r w:rsidR="008C647D" w:rsidRPr="00AE0294">
              <w:rPr>
                <w:rFonts w:cstheme="minorHAnsi"/>
                <w:color w:val="000000"/>
                <w:sz w:val="24"/>
                <w:szCs w:val="24"/>
              </w:rPr>
              <w:t xml:space="preserve">nd </w:t>
            </w:r>
            <w:r w:rsidRPr="00AE0294">
              <w:rPr>
                <w:rFonts w:cstheme="minorHAnsi"/>
                <w:color w:val="000000"/>
                <w:sz w:val="24"/>
                <w:szCs w:val="24"/>
              </w:rPr>
              <w:t>consideration of 90% capitalisation for FY</w:t>
            </w:r>
            <w:r w:rsidR="008C647D" w:rsidRPr="00AE0294">
              <w:rPr>
                <w:rFonts w:cstheme="minorHAnsi"/>
                <w:color w:val="000000"/>
                <w:sz w:val="24"/>
                <w:szCs w:val="24"/>
              </w:rPr>
              <w:t xml:space="preserve"> 2018-19</w:t>
            </w:r>
          </w:p>
        </w:tc>
        <w:tc>
          <w:tcPr>
            <w:tcW w:w="4111" w:type="dxa"/>
            <w:tcBorders>
              <w:top w:val="single" w:sz="6" w:space="0" w:color="000000"/>
              <w:left w:val="single" w:sz="6" w:space="0" w:color="000000"/>
              <w:bottom w:val="single" w:sz="6" w:space="0" w:color="000000"/>
              <w:right w:val="single" w:sz="6" w:space="0" w:color="000000"/>
            </w:tcBorders>
          </w:tcPr>
          <w:p w:rsidR="008C647D" w:rsidRPr="00AE0294" w:rsidRDefault="00A55DE6" w:rsidP="00BC3A95">
            <w:pPr>
              <w:pStyle w:val="ListParagraph"/>
              <w:numPr>
                <w:ilvl w:val="0"/>
                <w:numId w:val="10"/>
              </w:numPr>
              <w:tabs>
                <w:tab w:val="left" w:pos="1833"/>
              </w:tabs>
              <w:autoSpaceDE w:val="0"/>
              <w:autoSpaceDN w:val="0"/>
              <w:spacing w:line="360" w:lineRule="auto"/>
              <w:ind w:left="263"/>
              <w:rPr>
                <w:rFonts w:asciiTheme="minorHAnsi" w:hAnsiTheme="minorHAnsi" w:cstheme="minorHAnsi"/>
                <w:bCs/>
                <w:color w:val="000000"/>
                <w:lang w:val="en-US"/>
              </w:rPr>
            </w:pPr>
            <w:r w:rsidRPr="00AE0294">
              <w:rPr>
                <w:rFonts w:asciiTheme="minorHAnsi" w:hAnsiTheme="minorHAnsi" w:cstheme="minorHAnsi"/>
                <w:bCs/>
                <w:color w:val="000000"/>
                <w:lang w:val="en-US"/>
              </w:rPr>
              <w:t>Hon’ble Commission at Para 4.93</w:t>
            </w:r>
            <w:r w:rsidR="00711116" w:rsidRPr="00AE0294">
              <w:rPr>
                <w:rFonts w:asciiTheme="minorHAnsi" w:hAnsiTheme="minorHAnsi" w:cstheme="minorHAnsi"/>
                <w:bCs/>
                <w:color w:val="000000"/>
                <w:lang w:val="en-US"/>
              </w:rPr>
              <w:t xml:space="preserve"> of Tariff Order dated 28.03.2018 </w:t>
            </w:r>
            <w:r w:rsidR="00711116" w:rsidRPr="00AE0294">
              <w:rPr>
                <w:rFonts w:asciiTheme="minorHAnsi" w:hAnsiTheme="minorHAnsi" w:cstheme="minorHAnsi"/>
                <w:b/>
                <w:bCs/>
                <w:color w:val="000000"/>
                <w:u w:val="single"/>
                <w:lang w:val="en-US"/>
              </w:rPr>
              <w:t xml:space="preserve">has allowed capitalisation for FY 2018-19 </w:t>
            </w:r>
            <w:r w:rsidR="00711116" w:rsidRPr="00AE0294">
              <w:rPr>
                <w:rFonts w:asciiTheme="minorHAnsi" w:hAnsiTheme="minorHAnsi" w:cstheme="minorHAnsi"/>
                <w:bCs/>
                <w:color w:val="000000"/>
                <w:lang w:val="en-US"/>
              </w:rPr>
              <w:t>as per Regulation 24 of Business Plan Regulations, 2017.</w:t>
            </w:r>
          </w:p>
        </w:tc>
        <w:tc>
          <w:tcPr>
            <w:tcW w:w="3969" w:type="dxa"/>
            <w:tcBorders>
              <w:top w:val="single" w:sz="6" w:space="0" w:color="000000"/>
              <w:left w:val="single" w:sz="6" w:space="0" w:color="000000"/>
              <w:bottom w:val="single" w:sz="6" w:space="0" w:color="000000"/>
              <w:right w:val="single" w:sz="6" w:space="0" w:color="000000"/>
            </w:tcBorders>
          </w:tcPr>
          <w:p w:rsidR="008C647D" w:rsidRPr="00AE0294" w:rsidRDefault="00711116" w:rsidP="00BC3A95">
            <w:pPr>
              <w:pStyle w:val="ListParagraph"/>
              <w:numPr>
                <w:ilvl w:val="0"/>
                <w:numId w:val="10"/>
              </w:numPr>
              <w:tabs>
                <w:tab w:val="left" w:pos="1833"/>
              </w:tabs>
              <w:autoSpaceDE w:val="0"/>
              <w:autoSpaceDN w:val="0"/>
              <w:spacing w:line="360" w:lineRule="auto"/>
              <w:ind w:left="263"/>
              <w:rPr>
                <w:rFonts w:asciiTheme="minorHAnsi" w:hAnsiTheme="minorHAnsi" w:cstheme="minorHAnsi"/>
                <w:bCs/>
                <w:color w:val="000000"/>
                <w:lang w:val="en-US"/>
              </w:rPr>
            </w:pPr>
            <w:r w:rsidRPr="00AE0294">
              <w:rPr>
                <w:rFonts w:asciiTheme="minorHAnsi" w:hAnsiTheme="minorHAnsi" w:cstheme="minorHAnsi"/>
                <w:bCs/>
                <w:color w:val="000000"/>
                <w:lang w:val="en-US"/>
              </w:rPr>
              <w:t xml:space="preserve">Hon’ble Commission at Para 3.242 of Tariff Order dated 28.08.2020 has </w:t>
            </w:r>
            <w:r w:rsidRPr="00AE0294">
              <w:rPr>
                <w:rFonts w:asciiTheme="minorHAnsi" w:hAnsiTheme="minorHAnsi" w:cstheme="minorHAnsi"/>
                <w:b/>
                <w:bCs/>
                <w:color w:val="000000"/>
                <w:u w:val="single"/>
                <w:lang w:val="en-US"/>
              </w:rPr>
              <w:t>provisionally disallowed capitalisation of ₹ 3.86 Crore for FY 2018-19 from approved capitalisation in ARR based on TPDDL’s data relating to capitalisation of meter</w:t>
            </w:r>
            <w:r w:rsidRPr="00AE0294">
              <w:rPr>
                <w:rFonts w:asciiTheme="minorHAnsi" w:hAnsiTheme="minorHAnsi" w:cstheme="minorHAnsi"/>
                <w:bCs/>
                <w:color w:val="000000"/>
                <w:lang w:val="en-US"/>
              </w:rPr>
              <w:t xml:space="preserve">. </w:t>
            </w:r>
          </w:p>
        </w:tc>
        <w:tc>
          <w:tcPr>
            <w:tcW w:w="3537" w:type="dxa"/>
            <w:tcBorders>
              <w:top w:val="single" w:sz="6" w:space="0" w:color="000000"/>
              <w:left w:val="single" w:sz="6" w:space="0" w:color="000000"/>
              <w:bottom w:val="single" w:sz="6" w:space="0" w:color="000000"/>
              <w:right w:val="single" w:sz="6" w:space="0" w:color="000000"/>
            </w:tcBorders>
          </w:tcPr>
          <w:p w:rsidR="00F17F71" w:rsidRPr="00AE0294" w:rsidRDefault="000C2997" w:rsidP="00F17F71">
            <w:pPr>
              <w:pStyle w:val="ListParagraph"/>
              <w:numPr>
                <w:ilvl w:val="0"/>
                <w:numId w:val="22"/>
              </w:numPr>
              <w:tabs>
                <w:tab w:val="left" w:pos="1833"/>
              </w:tabs>
              <w:autoSpaceDE w:val="0"/>
              <w:autoSpaceDN w:val="0"/>
              <w:spacing w:line="360" w:lineRule="auto"/>
              <w:rPr>
                <w:rFonts w:asciiTheme="minorHAnsi" w:hAnsiTheme="minorHAnsi" w:cstheme="minorHAnsi"/>
              </w:rPr>
            </w:pPr>
            <w:r w:rsidRPr="00AE0294">
              <w:rPr>
                <w:rFonts w:asciiTheme="minorHAnsi" w:hAnsiTheme="minorHAnsi" w:cstheme="minorHAnsi"/>
              </w:rPr>
              <w:t xml:space="preserve">The Petitioner requests the Hon’ble Commission to consider the capitalisation based on the data of Petitioner. </w:t>
            </w:r>
          </w:p>
          <w:p w:rsidR="00F17F71" w:rsidRPr="00AE0294" w:rsidRDefault="00F17F71" w:rsidP="00F17F71">
            <w:pPr>
              <w:pStyle w:val="ListParagraph"/>
              <w:numPr>
                <w:ilvl w:val="0"/>
                <w:numId w:val="22"/>
              </w:numPr>
              <w:tabs>
                <w:tab w:val="left" w:pos="1833"/>
              </w:tabs>
              <w:autoSpaceDE w:val="0"/>
              <w:autoSpaceDN w:val="0"/>
              <w:spacing w:line="360" w:lineRule="auto"/>
              <w:rPr>
                <w:rFonts w:asciiTheme="minorHAnsi" w:hAnsiTheme="minorHAnsi" w:cstheme="minorHAnsi"/>
              </w:rPr>
            </w:pPr>
            <w:r w:rsidRPr="00AE0294">
              <w:rPr>
                <w:rFonts w:asciiTheme="minorHAnsi" w:hAnsiTheme="minorHAnsi" w:cstheme="minorHAnsi"/>
              </w:rPr>
              <w:t>The financial impact is already included in impact at Table for Category 1-A(i) of this petition</w:t>
            </w:r>
          </w:p>
        </w:tc>
      </w:tr>
    </w:tbl>
    <w:p w:rsidR="00C6492A" w:rsidRPr="00AE0294" w:rsidRDefault="00C6492A" w:rsidP="00C6492A">
      <w:pPr>
        <w:pStyle w:val="ListParagraph"/>
        <w:spacing w:line="360" w:lineRule="auto"/>
        <w:ind w:left="284"/>
        <w:rPr>
          <w:rFonts w:asciiTheme="minorHAnsi" w:hAnsiTheme="minorHAnsi" w:cstheme="minorHAnsi"/>
          <w:color w:val="000000" w:themeColor="text1"/>
          <w:highlight w:val="yellow"/>
        </w:rPr>
      </w:pPr>
    </w:p>
    <w:p w:rsidR="007A3406" w:rsidRPr="00AE0294" w:rsidRDefault="007A3406" w:rsidP="00333B5A">
      <w:pPr>
        <w:pStyle w:val="Heading1"/>
        <w:jc w:val="both"/>
        <w:rPr>
          <w:rFonts w:cstheme="minorHAnsi"/>
          <w:szCs w:val="24"/>
        </w:rPr>
        <w:sectPr w:rsidR="007A3406" w:rsidRPr="00AE0294" w:rsidSect="007D37C9">
          <w:pgSz w:w="16838" w:h="11906" w:orient="landscape"/>
          <w:pgMar w:top="1418" w:right="1440" w:bottom="1440" w:left="1440" w:header="708" w:footer="0" w:gutter="0"/>
          <w:pgNumType w:start="209"/>
          <w:cols w:space="708"/>
          <w:titlePg/>
          <w:docGrid w:linePitch="360"/>
        </w:sectPr>
      </w:pPr>
    </w:p>
    <w:p w:rsidR="007A3406" w:rsidRPr="00AE0294" w:rsidRDefault="00333B5A" w:rsidP="00966F83">
      <w:pPr>
        <w:pStyle w:val="Heading1"/>
        <w:ind w:left="1276" w:hanging="1276"/>
        <w:jc w:val="both"/>
        <w:rPr>
          <w:rFonts w:cstheme="minorHAnsi"/>
          <w:szCs w:val="24"/>
          <w:lang w:val="en-IN"/>
        </w:rPr>
      </w:pPr>
      <w:bookmarkStart w:id="10" w:name="_Toc120733946"/>
      <w:r w:rsidRPr="00AE0294">
        <w:rPr>
          <w:rFonts w:cstheme="minorHAnsi"/>
          <w:szCs w:val="24"/>
        </w:rPr>
        <w:lastRenderedPageBreak/>
        <w:t>Category-</w:t>
      </w:r>
      <w:r w:rsidR="009141CD" w:rsidRPr="00AE0294">
        <w:rPr>
          <w:rFonts w:cstheme="minorHAnsi"/>
          <w:szCs w:val="24"/>
        </w:rPr>
        <w:t>2</w:t>
      </w:r>
      <w:r w:rsidRPr="00AE0294">
        <w:rPr>
          <w:rFonts w:cstheme="minorHAnsi"/>
          <w:szCs w:val="24"/>
        </w:rPr>
        <w:t xml:space="preserve">: </w:t>
      </w:r>
      <w:bookmarkStart w:id="11" w:name="_Toc89786171"/>
      <w:r w:rsidR="007A3406" w:rsidRPr="00AE0294">
        <w:rPr>
          <w:rFonts w:cstheme="minorHAnsi"/>
          <w:szCs w:val="24"/>
          <w:lang w:val="en-IN"/>
        </w:rPr>
        <w:t xml:space="preserve">Impact of issues </w:t>
      </w:r>
      <w:r w:rsidR="00CB30ED" w:rsidRPr="00AE0294">
        <w:rPr>
          <w:rFonts w:cstheme="minorHAnsi"/>
          <w:szCs w:val="24"/>
          <w:lang w:val="en-IN"/>
        </w:rPr>
        <w:t xml:space="preserve">pending before Hon’ble Commission </w:t>
      </w:r>
      <w:r w:rsidR="00AB4A05" w:rsidRPr="00AE0294">
        <w:rPr>
          <w:rFonts w:cstheme="minorHAnsi"/>
          <w:szCs w:val="24"/>
          <w:lang w:val="en-IN"/>
        </w:rPr>
        <w:t>for implementation</w:t>
      </w:r>
      <w:bookmarkEnd w:id="10"/>
    </w:p>
    <w:p w:rsidR="009141CD" w:rsidRPr="00AE0294" w:rsidRDefault="007A3406" w:rsidP="00966F83">
      <w:pPr>
        <w:pStyle w:val="ARRFY20BODY"/>
        <w:ind w:left="1276" w:hanging="1276"/>
        <w:rPr>
          <w:b/>
          <w:szCs w:val="24"/>
        </w:rPr>
      </w:pPr>
      <w:r w:rsidRPr="00AE0294">
        <w:rPr>
          <w:b/>
          <w:szCs w:val="24"/>
        </w:rPr>
        <w:t>Issue-2</w:t>
      </w:r>
      <w:r w:rsidR="009141CD" w:rsidRPr="00AE0294">
        <w:rPr>
          <w:b/>
          <w:szCs w:val="24"/>
        </w:rPr>
        <w:t xml:space="preserve">.1: </w:t>
      </w:r>
      <w:r w:rsidR="00966F83" w:rsidRPr="00AE0294">
        <w:rPr>
          <w:b/>
          <w:szCs w:val="24"/>
        </w:rPr>
        <w:tab/>
      </w:r>
      <w:r w:rsidR="009141CD" w:rsidRPr="00AE0294">
        <w:rPr>
          <w:b/>
          <w:szCs w:val="24"/>
        </w:rPr>
        <w:t>Write Back of Miscellaneous Provisions considered as Non-Tariff Income FY 2007-08 to FY 201</w:t>
      </w:r>
      <w:bookmarkEnd w:id="11"/>
      <w:r w:rsidR="00093E2F" w:rsidRPr="00AE0294">
        <w:rPr>
          <w:b/>
          <w:szCs w:val="24"/>
        </w:rPr>
        <w:t>9-20</w:t>
      </w:r>
    </w:p>
    <w:p w:rsidR="00AB4A05" w:rsidRPr="00AE0294" w:rsidRDefault="00CB30ED" w:rsidP="009141CD">
      <w:pPr>
        <w:pStyle w:val="ARRB11"/>
        <w:numPr>
          <w:ilvl w:val="1"/>
          <w:numId w:val="2"/>
        </w:numPr>
        <w:spacing w:before="0" w:after="0"/>
        <w:ind w:left="990" w:hanging="990"/>
        <w:rPr>
          <w:szCs w:val="24"/>
        </w:rPr>
      </w:pPr>
      <w:r w:rsidRPr="00AE0294">
        <w:rPr>
          <w:szCs w:val="24"/>
        </w:rPr>
        <w:t>This issue has been allowed by the Hon’ble Commission</w:t>
      </w:r>
      <w:r w:rsidR="00AB4A05" w:rsidRPr="00AE0294">
        <w:rPr>
          <w:szCs w:val="24"/>
        </w:rPr>
        <w:t xml:space="preserve"> in Order dated 13.12.2019 passed in Review Petition No. 31 of 2018 and is yet to implemented in letter and spirit.</w:t>
      </w:r>
    </w:p>
    <w:p w:rsidR="009141CD" w:rsidRPr="00AE0294" w:rsidRDefault="00CB30ED" w:rsidP="009141CD">
      <w:pPr>
        <w:pStyle w:val="ARRB11"/>
        <w:numPr>
          <w:ilvl w:val="1"/>
          <w:numId w:val="2"/>
        </w:numPr>
        <w:spacing w:before="0" w:after="0"/>
        <w:ind w:left="990" w:hanging="990"/>
        <w:rPr>
          <w:szCs w:val="24"/>
        </w:rPr>
      </w:pPr>
      <w:r w:rsidRPr="00AE0294">
        <w:rPr>
          <w:szCs w:val="24"/>
        </w:rPr>
        <w:t xml:space="preserve"> </w:t>
      </w:r>
      <w:r w:rsidR="009141CD" w:rsidRPr="00AE0294">
        <w:rPr>
          <w:szCs w:val="24"/>
        </w:rPr>
        <w:t>The Hon'ble Commission in Tariff Order dated 30.09.2021 has partially implemented the impact pertaining to Review Order dated 13.12.2019 passed in Review Petition 31 of 2018. On the issue of Write Back Miscellaneous provisions considered as Non-Tariff Income upto FY 2018-19, Hon'ble Comisison in the Tariff Order dated 30.09.2021 has stated that the information submitted by BYPL is under scrutiny and has provisionally considered the write back of miscellaneous provisions pertaining to O&amp;M Expense provisions relating to reversal on provisions on O&amp;M expenses and retirement of assets.</w:t>
      </w:r>
    </w:p>
    <w:p w:rsidR="009141CD" w:rsidRPr="00AE0294" w:rsidRDefault="009141CD" w:rsidP="009141CD">
      <w:pPr>
        <w:pStyle w:val="ARRB11"/>
        <w:numPr>
          <w:ilvl w:val="1"/>
          <w:numId w:val="2"/>
        </w:numPr>
        <w:spacing w:before="0" w:after="0"/>
        <w:ind w:left="990" w:hanging="990"/>
        <w:rPr>
          <w:szCs w:val="24"/>
        </w:rPr>
      </w:pPr>
      <w:r w:rsidRPr="00AE0294">
        <w:rPr>
          <w:szCs w:val="24"/>
        </w:rPr>
        <w:t xml:space="preserve">Relevant extracts of the Tariff Order dated 30.09.2021 is reproduced as under: </w:t>
      </w:r>
    </w:p>
    <w:p w:rsidR="009141CD" w:rsidRPr="00AE0294" w:rsidRDefault="009141CD" w:rsidP="009141CD">
      <w:pPr>
        <w:pStyle w:val="ARRB11"/>
        <w:numPr>
          <w:ilvl w:val="0"/>
          <w:numId w:val="0"/>
        </w:numPr>
        <w:ind w:left="1418"/>
        <w:rPr>
          <w:i/>
          <w:szCs w:val="24"/>
        </w:rPr>
      </w:pPr>
      <w:r w:rsidRPr="00AE0294">
        <w:rPr>
          <w:i/>
          <w:szCs w:val="24"/>
        </w:rPr>
        <w:t>“3.25…. There was hardly any time left for the Commission to examine and verify the authenticity of the data furnished by the DISCOMs, as the Commission was committed to issue the Tariff Order for FY2021-22 before 30/09/2021.</w:t>
      </w:r>
    </w:p>
    <w:p w:rsidR="009141CD" w:rsidRPr="00AE0294" w:rsidRDefault="009141CD" w:rsidP="009141CD">
      <w:pPr>
        <w:pStyle w:val="ARRB11"/>
        <w:numPr>
          <w:ilvl w:val="0"/>
          <w:numId w:val="0"/>
        </w:numPr>
        <w:ind w:left="1418"/>
        <w:rPr>
          <w:i/>
          <w:szCs w:val="24"/>
        </w:rPr>
      </w:pPr>
      <w:r w:rsidRPr="00AE0294">
        <w:rPr>
          <w:i/>
          <w:szCs w:val="24"/>
        </w:rPr>
        <w:t>3.26 Until the final disposal of the issue by the Commission based on the additional submissions made by the Petitioner, the Commission has provisionally considered the write back of miscellaneous provisions pertaining to O&amp;M Expense provisions relating to reversal on provisions on O&amp;M expenses and retirement of assets.”</w:t>
      </w:r>
    </w:p>
    <w:p w:rsidR="009141CD" w:rsidRPr="00AE0294" w:rsidRDefault="005150D3" w:rsidP="009141CD">
      <w:pPr>
        <w:pStyle w:val="ARRB11"/>
        <w:numPr>
          <w:ilvl w:val="1"/>
          <w:numId w:val="2"/>
        </w:numPr>
        <w:ind w:left="990" w:hanging="990"/>
        <w:rPr>
          <w:szCs w:val="24"/>
          <w:lang w:val="en-IN"/>
        </w:rPr>
      </w:pPr>
      <w:bookmarkStart w:id="12" w:name="_Toc89786172"/>
      <w:r w:rsidRPr="00AE0294">
        <w:rPr>
          <w:szCs w:val="24"/>
        </w:rPr>
        <w:t xml:space="preserve">Pursuant to the aforesaid finding, </w:t>
      </w:r>
      <w:r w:rsidR="009141CD" w:rsidRPr="00AE0294">
        <w:rPr>
          <w:szCs w:val="24"/>
        </w:rPr>
        <w:t xml:space="preserve">the Hon’ble Commission </w:t>
      </w:r>
      <w:r w:rsidRPr="00AE0294">
        <w:rPr>
          <w:szCs w:val="24"/>
        </w:rPr>
        <w:t xml:space="preserve">has sought various additional information which the Petitioner has submitted from time to time. </w:t>
      </w:r>
      <w:r w:rsidR="009141CD" w:rsidRPr="00AE0294">
        <w:rPr>
          <w:szCs w:val="24"/>
          <w:lang w:val="en-IN"/>
        </w:rPr>
        <w:t xml:space="preserve"> It is also imperative to note that this issue pertains to past period and each year delay in recognition and allowance of the claims violates principles of tariff determination under Section 61 , 62 and 64 of Electricity Act, 2003 which attracts</w:t>
      </w:r>
      <w:r w:rsidR="006041BB" w:rsidRPr="00AE0294">
        <w:rPr>
          <w:szCs w:val="24"/>
          <w:lang w:val="en-IN"/>
        </w:rPr>
        <w:t xml:space="preserve"> </w:t>
      </w:r>
      <w:r w:rsidR="009141CD" w:rsidRPr="00AE0294">
        <w:rPr>
          <w:szCs w:val="24"/>
          <w:lang w:val="en-IN"/>
        </w:rPr>
        <w:t>substantial amount of carrying cost to be borne by the consumer which can be avoided. The Petitioner vide letter dated 23.05.2022 has also submitted the above information for kind of the Hon’ble Commission.</w:t>
      </w:r>
    </w:p>
    <w:p w:rsidR="009141CD" w:rsidRPr="00AE0294" w:rsidRDefault="009141CD" w:rsidP="009141CD">
      <w:pPr>
        <w:pStyle w:val="ARRB11"/>
        <w:numPr>
          <w:ilvl w:val="1"/>
          <w:numId w:val="2"/>
        </w:numPr>
        <w:tabs>
          <w:tab w:val="clear" w:pos="1440"/>
        </w:tabs>
        <w:ind w:left="993" w:hanging="993"/>
        <w:rPr>
          <w:szCs w:val="24"/>
        </w:rPr>
      </w:pPr>
      <w:r w:rsidRPr="00AE0294">
        <w:rPr>
          <w:szCs w:val="24"/>
        </w:rPr>
        <w:t>Since all the information as and when sought by the Hon'ble Commission has been duly submitted for implementation of this issue, the Petitioner requests the Hon'ble Commission to allow the complete impact which is being claimed under this category along with Carrying Cost.</w:t>
      </w:r>
    </w:p>
    <w:p w:rsidR="008D13E1" w:rsidRPr="00AE0294" w:rsidRDefault="008D13E1" w:rsidP="008D13E1">
      <w:pPr>
        <w:pStyle w:val="ARRB11"/>
        <w:numPr>
          <w:ilvl w:val="1"/>
          <w:numId w:val="2"/>
        </w:numPr>
        <w:tabs>
          <w:tab w:val="clear" w:pos="1440"/>
        </w:tabs>
        <w:ind w:left="993" w:hanging="993"/>
        <w:rPr>
          <w:szCs w:val="24"/>
          <w:lang w:val="en-IN" w:bidi="te-IN"/>
        </w:rPr>
      </w:pPr>
      <w:r w:rsidRPr="00AE0294">
        <w:rPr>
          <w:szCs w:val="24"/>
          <w:lang w:val="en-IN" w:bidi="te-IN"/>
        </w:rPr>
        <w:t xml:space="preserve">The </w:t>
      </w:r>
      <w:r w:rsidR="00093E2F" w:rsidRPr="00AE0294">
        <w:rPr>
          <w:szCs w:val="24"/>
          <w:lang w:val="en-IN" w:bidi="te-IN"/>
        </w:rPr>
        <w:t xml:space="preserve">financial </w:t>
      </w:r>
      <w:r w:rsidRPr="00AE0294">
        <w:rPr>
          <w:szCs w:val="24"/>
          <w:lang w:val="en-IN" w:bidi="te-IN"/>
        </w:rPr>
        <w:t>impact of this issue along with carrying cost is tabulated as under:</w:t>
      </w:r>
    </w:p>
    <w:p w:rsidR="000314E3" w:rsidRPr="00AE0294" w:rsidRDefault="000314E3" w:rsidP="000314E3">
      <w:pPr>
        <w:pStyle w:val="Caption"/>
        <w:spacing w:after="0"/>
        <w:ind w:left="644"/>
        <w:jc w:val="center"/>
        <w:rPr>
          <w:rFonts w:cstheme="minorHAnsi"/>
          <w:b/>
          <w:i w:val="0"/>
          <w:color w:val="000000" w:themeColor="text1"/>
          <w:sz w:val="24"/>
          <w:szCs w:val="24"/>
        </w:rPr>
      </w:pPr>
      <w:bookmarkStart w:id="13" w:name="_Toc120734113"/>
      <w:r w:rsidRPr="00AE0294">
        <w:rPr>
          <w:rFonts w:cstheme="minorHAnsi"/>
          <w:b/>
          <w:i w:val="0"/>
          <w:color w:val="000000" w:themeColor="text1"/>
          <w:sz w:val="24"/>
          <w:szCs w:val="24"/>
        </w:rPr>
        <w:lastRenderedPageBreak/>
        <w:t xml:space="preserve">Table 3B </w:t>
      </w:r>
      <w:r w:rsidRPr="00AE0294">
        <w:rPr>
          <w:rFonts w:cstheme="minorHAnsi"/>
          <w:b/>
          <w:i w:val="0"/>
          <w:color w:val="000000" w:themeColor="text1"/>
          <w:sz w:val="24"/>
          <w:szCs w:val="24"/>
        </w:rPr>
        <w:fldChar w:fldCharType="begin"/>
      </w:r>
      <w:r w:rsidRPr="00AE0294">
        <w:rPr>
          <w:rFonts w:cstheme="minorHAnsi"/>
          <w:b/>
          <w:i w:val="0"/>
          <w:color w:val="000000" w:themeColor="text1"/>
          <w:sz w:val="24"/>
          <w:szCs w:val="24"/>
        </w:rPr>
        <w:instrText xml:space="preserve"> SEQ Table_3B \* ARABIC </w:instrText>
      </w:r>
      <w:r w:rsidRPr="00AE0294">
        <w:rPr>
          <w:rFonts w:cstheme="minorHAnsi"/>
          <w:b/>
          <w:i w:val="0"/>
          <w:color w:val="000000" w:themeColor="text1"/>
          <w:sz w:val="24"/>
          <w:szCs w:val="24"/>
        </w:rPr>
        <w:fldChar w:fldCharType="separate"/>
      </w:r>
      <w:r w:rsidR="006D2E03">
        <w:rPr>
          <w:rFonts w:cstheme="minorHAnsi"/>
          <w:b/>
          <w:i w:val="0"/>
          <w:noProof/>
          <w:color w:val="000000" w:themeColor="text1"/>
          <w:sz w:val="24"/>
          <w:szCs w:val="24"/>
        </w:rPr>
        <w:t>5</w:t>
      </w:r>
      <w:r w:rsidRPr="00AE0294">
        <w:rPr>
          <w:rFonts w:cstheme="minorHAnsi"/>
          <w:b/>
          <w:i w:val="0"/>
          <w:color w:val="000000" w:themeColor="text1"/>
          <w:sz w:val="24"/>
          <w:szCs w:val="24"/>
        </w:rPr>
        <w:fldChar w:fldCharType="end"/>
      </w:r>
      <w:r w:rsidRPr="00AE0294">
        <w:rPr>
          <w:rFonts w:cstheme="minorHAnsi"/>
          <w:b/>
          <w:i w:val="0"/>
          <w:color w:val="000000" w:themeColor="text1"/>
          <w:sz w:val="24"/>
          <w:szCs w:val="24"/>
        </w:rPr>
        <w:t xml:space="preserve">: </w:t>
      </w:r>
      <w:r w:rsidR="008E7065">
        <w:rPr>
          <w:rFonts w:cstheme="minorHAnsi"/>
          <w:b/>
          <w:i w:val="0"/>
          <w:color w:val="000000" w:themeColor="text1"/>
          <w:sz w:val="24"/>
          <w:szCs w:val="24"/>
        </w:rPr>
        <w:t>Financial I</w:t>
      </w:r>
      <w:r w:rsidRPr="00AE0294">
        <w:rPr>
          <w:rFonts w:cstheme="minorHAnsi"/>
          <w:b/>
          <w:i w:val="0"/>
          <w:color w:val="000000" w:themeColor="text1"/>
          <w:sz w:val="24"/>
          <w:szCs w:val="24"/>
        </w:rPr>
        <w:t xml:space="preserve">mpact </w:t>
      </w:r>
      <w:r w:rsidR="008E7065">
        <w:rPr>
          <w:rFonts w:cstheme="minorHAnsi"/>
          <w:b/>
          <w:i w:val="0"/>
          <w:color w:val="000000" w:themeColor="text1"/>
          <w:sz w:val="24"/>
          <w:szCs w:val="24"/>
        </w:rPr>
        <w:t xml:space="preserve">of </w:t>
      </w:r>
      <w:r w:rsidR="008E7065" w:rsidRPr="008E7065">
        <w:rPr>
          <w:rFonts w:cstheme="minorHAnsi"/>
          <w:b/>
          <w:i w:val="0"/>
          <w:color w:val="000000" w:themeColor="text1"/>
          <w:sz w:val="24"/>
          <w:szCs w:val="24"/>
        </w:rPr>
        <w:t xml:space="preserve">Write Back of Miscellaneous Provisions considered as </w:t>
      </w:r>
      <w:r w:rsidR="008E7065">
        <w:rPr>
          <w:rFonts w:cstheme="minorHAnsi"/>
          <w:b/>
          <w:i w:val="0"/>
          <w:color w:val="000000" w:themeColor="text1"/>
          <w:sz w:val="24"/>
          <w:szCs w:val="24"/>
        </w:rPr>
        <w:t>NTI</w:t>
      </w:r>
      <w:r w:rsidR="008E7065" w:rsidRPr="008E7065">
        <w:rPr>
          <w:rFonts w:cstheme="minorHAnsi"/>
          <w:b/>
          <w:i w:val="0"/>
          <w:color w:val="000000" w:themeColor="text1"/>
          <w:sz w:val="24"/>
          <w:szCs w:val="24"/>
        </w:rPr>
        <w:t xml:space="preserve"> FY 2007-08 to FY 2019-20</w:t>
      </w:r>
      <w:r w:rsidR="008E7065">
        <w:rPr>
          <w:rFonts w:cstheme="minorHAnsi"/>
          <w:b/>
          <w:i w:val="0"/>
          <w:color w:val="000000" w:themeColor="text1"/>
          <w:sz w:val="24"/>
          <w:szCs w:val="24"/>
        </w:rPr>
        <w:t xml:space="preserve"> along with Carying Cost</w:t>
      </w:r>
      <w:r w:rsidR="004F1C54">
        <w:rPr>
          <w:rFonts w:cstheme="minorHAnsi"/>
          <w:b/>
          <w:i w:val="0"/>
          <w:color w:val="000000" w:themeColor="text1"/>
          <w:sz w:val="24"/>
          <w:szCs w:val="24"/>
        </w:rPr>
        <w:t xml:space="preserve"> </w:t>
      </w:r>
      <w:r w:rsidR="004F1C54" w:rsidRPr="00AE0294">
        <w:rPr>
          <w:rStyle w:val="Heading2Char"/>
          <w:rFonts w:asciiTheme="minorHAnsi" w:eastAsiaTheme="minorHAnsi" w:hAnsiTheme="minorHAnsi" w:cstheme="minorHAnsi"/>
          <w:i w:val="0"/>
          <w:color w:val="000000" w:themeColor="text1"/>
          <w:sz w:val="24"/>
          <w:szCs w:val="24"/>
        </w:rPr>
        <w:t>(₹ Crore)</w:t>
      </w:r>
      <w:bookmarkEnd w:id="13"/>
    </w:p>
    <w:tbl>
      <w:tblPr>
        <w:tblW w:w="9977" w:type="dxa"/>
        <w:tblLook w:val="04A0" w:firstRow="1" w:lastRow="0" w:firstColumn="1" w:lastColumn="0" w:noHBand="0" w:noVBand="1"/>
      </w:tblPr>
      <w:tblGrid>
        <w:gridCol w:w="580"/>
        <w:gridCol w:w="2392"/>
        <w:gridCol w:w="875"/>
        <w:gridCol w:w="880"/>
        <w:gridCol w:w="875"/>
        <w:gridCol w:w="875"/>
        <w:gridCol w:w="875"/>
        <w:gridCol w:w="875"/>
        <w:gridCol w:w="875"/>
        <w:gridCol w:w="875"/>
      </w:tblGrid>
      <w:tr w:rsidR="008C09C4" w:rsidRPr="008C09C4" w:rsidTr="008C09C4">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b/>
                <w:bCs/>
                <w:color w:val="000000"/>
                <w:lang w:eastAsia="en-IN"/>
              </w:rPr>
            </w:pPr>
            <w:r w:rsidRPr="008C09C4">
              <w:rPr>
                <w:rFonts w:ascii="Calibri" w:eastAsia="Times New Roman" w:hAnsi="Calibri" w:cs="Calibri"/>
                <w:b/>
                <w:bCs/>
                <w:color w:val="000000"/>
                <w:lang w:eastAsia="en-IN"/>
              </w:rPr>
              <w:t>S. No</w:t>
            </w:r>
          </w:p>
        </w:tc>
        <w:tc>
          <w:tcPr>
            <w:tcW w:w="2392" w:type="dxa"/>
            <w:tcBorders>
              <w:top w:val="single" w:sz="4" w:space="0" w:color="auto"/>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b/>
                <w:bCs/>
                <w:color w:val="000000"/>
                <w:lang w:eastAsia="en-IN"/>
              </w:rPr>
            </w:pPr>
            <w:r w:rsidRPr="008C09C4">
              <w:rPr>
                <w:rFonts w:ascii="Calibri" w:eastAsia="Times New Roman" w:hAnsi="Calibri" w:cs="Calibri"/>
                <w:b/>
                <w:bCs/>
                <w:color w:val="000000"/>
                <w:lang w:eastAsia="en-IN"/>
              </w:rPr>
              <w:t>Particulars</w:t>
            </w:r>
          </w:p>
        </w:tc>
        <w:tc>
          <w:tcPr>
            <w:tcW w:w="875" w:type="dxa"/>
            <w:tcBorders>
              <w:top w:val="single" w:sz="4" w:space="0" w:color="auto"/>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b/>
                <w:bCs/>
                <w:color w:val="000000"/>
                <w:lang w:eastAsia="en-IN"/>
              </w:rPr>
            </w:pPr>
            <w:r w:rsidRPr="008C09C4">
              <w:rPr>
                <w:rFonts w:ascii="Calibri" w:eastAsia="Times New Roman" w:hAnsi="Calibri" w:cs="Calibri"/>
                <w:b/>
                <w:bCs/>
                <w:color w:val="000000"/>
                <w:lang w:eastAsia="en-IN"/>
              </w:rPr>
              <w:t>FY 08</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b/>
                <w:bCs/>
                <w:color w:val="000000"/>
                <w:lang w:eastAsia="en-IN"/>
              </w:rPr>
            </w:pPr>
            <w:r w:rsidRPr="008C09C4">
              <w:rPr>
                <w:rFonts w:ascii="Calibri" w:eastAsia="Times New Roman" w:hAnsi="Calibri" w:cs="Calibri"/>
                <w:b/>
                <w:bCs/>
                <w:color w:val="000000"/>
                <w:lang w:eastAsia="en-IN"/>
              </w:rPr>
              <w:t>FY 09</w:t>
            </w:r>
          </w:p>
        </w:tc>
        <w:tc>
          <w:tcPr>
            <w:tcW w:w="875" w:type="dxa"/>
            <w:tcBorders>
              <w:top w:val="single" w:sz="4" w:space="0" w:color="auto"/>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b/>
                <w:bCs/>
                <w:color w:val="000000"/>
                <w:lang w:eastAsia="en-IN"/>
              </w:rPr>
            </w:pPr>
            <w:r w:rsidRPr="008C09C4">
              <w:rPr>
                <w:rFonts w:ascii="Calibri" w:eastAsia="Times New Roman" w:hAnsi="Calibri" w:cs="Calibri"/>
                <w:b/>
                <w:bCs/>
                <w:color w:val="000000"/>
                <w:lang w:eastAsia="en-IN"/>
              </w:rPr>
              <w:t>FY 10</w:t>
            </w:r>
          </w:p>
        </w:tc>
        <w:tc>
          <w:tcPr>
            <w:tcW w:w="875" w:type="dxa"/>
            <w:tcBorders>
              <w:top w:val="single" w:sz="4" w:space="0" w:color="auto"/>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b/>
                <w:bCs/>
                <w:color w:val="000000"/>
                <w:lang w:eastAsia="en-IN"/>
              </w:rPr>
            </w:pPr>
            <w:r w:rsidRPr="008C09C4">
              <w:rPr>
                <w:rFonts w:ascii="Calibri" w:eastAsia="Times New Roman" w:hAnsi="Calibri" w:cs="Calibri"/>
                <w:b/>
                <w:bCs/>
                <w:color w:val="000000"/>
                <w:lang w:eastAsia="en-IN"/>
              </w:rPr>
              <w:t>FY 11</w:t>
            </w:r>
          </w:p>
        </w:tc>
        <w:tc>
          <w:tcPr>
            <w:tcW w:w="875" w:type="dxa"/>
            <w:tcBorders>
              <w:top w:val="single" w:sz="4" w:space="0" w:color="auto"/>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b/>
                <w:bCs/>
                <w:color w:val="000000"/>
                <w:lang w:eastAsia="en-IN"/>
              </w:rPr>
            </w:pPr>
            <w:r w:rsidRPr="008C09C4">
              <w:rPr>
                <w:rFonts w:ascii="Calibri" w:eastAsia="Times New Roman" w:hAnsi="Calibri" w:cs="Calibri"/>
                <w:b/>
                <w:bCs/>
                <w:color w:val="000000"/>
                <w:lang w:eastAsia="en-IN"/>
              </w:rPr>
              <w:t>FY 12</w:t>
            </w:r>
          </w:p>
        </w:tc>
        <w:tc>
          <w:tcPr>
            <w:tcW w:w="875" w:type="dxa"/>
            <w:tcBorders>
              <w:top w:val="single" w:sz="4" w:space="0" w:color="auto"/>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b/>
                <w:bCs/>
                <w:color w:val="000000"/>
                <w:lang w:eastAsia="en-IN"/>
              </w:rPr>
            </w:pPr>
            <w:r w:rsidRPr="008C09C4">
              <w:rPr>
                <w:rFonts w:ascii="Calibri" w:eastAsia="Times New Roman" w:hAnsi="Calibri" w:cs="Calibri"/>
                <w:b/>
                <w:bCs/>
                <w:color w:val="000000"/>
                <w:lang w:eastAsia="en-IN"/>
              </w:rPr>
              <w:t>FY 13</w:t>
            </w:r>
          </w:p>
        </w:tc>
        <w:tc>
          <w:tcPr>
            <w:tcW w:w="875" w:type="dxa"/>
            <w:tcBorders>
              <w:top w:val="single" w:sz="4" w:space="0" w:color="auto"/>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b/>
                <w:bCs/>
                <w:color w:val="000000"/>
                <w:lang w:eastAsia="en-IN"/>
              </w:rPr>
            </w:pPr>
            <w:r w:rsidRPr="008C09C4">
              <w:rPr>
                <w:rFonts w:ascii="Calibri" w:eastAsia="Times New Roman" w:hAnsi="Calibri" w:cs="Calibri"/>
                <w:b/>
                <w:bCs/>
                <w:color w:val="000000"/>
                <w:lang w:eastAsia="en-IN"/>
              </w:rPr>
              <w:t>FY 14</w:t>
            </w:r>
          </w:p>
        </w:tc>
        <w:tc>
          <w:tcPr>
            <w:tcW w:w="875" w:type="dxa"/>
            <w:tcBorders>
              <w:top w:val="single" w:sz="4" w:space="0" w:color="auto"/>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b/>
                <w:bCs/>
                <w:color w:val="000000"/>
                <w:lang w:eastAsia="en-IN"/>
              </w:rPr>
            </w:pPr>
            <w:r w:rsidRPr="008C09C4">
              <w:rPr>
                <w:rFonts w:ascii="Calibri" w:eastAsia="Times New Roman" w:hAnsi="Calibri" w:cs="Calibri"/>
                <w:b/>
                <w:bCs/>
                <w:color w:val="000000"/>
                <w:lang w:eastAsia="en-IN"/>
              </w:rPr>
              <w:t>FY 15</w:t>
            </w:r>
          </w:p>
        </w:tc>
      </w:tr>
      <w:tr w:rsidR="008C09C4" w:rsidRPr="008C09C4" w:rsidTr="008C09C4">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1</w:t>
            </w:r>
          </w:p>
        </w:tc>
        <w:tc>
          <w:tcPr>
            <w:tcW w:w="2392" w:type="dxa"/>
            <w:tcBorders>
              <w:top w:val="nil"/>
              <w:left w:val="nil"/>
              <w:bottom w:val="single" w:sz="4" w:space="0" w:color="auto"/>
              <w:right w:val="single" w:sz="4" w:space="0" w:color="auto"/>
            </w:tcBorders>
            <w:shd w:val="clear" w:color="auto" w:fill="auto"/>
            <w:noWrap/>
            <w:vAlign w:val="bottom"/>
            <w:hideMark/>
          </w:tcPr>
          <w:p w:rsidR="008C09C4" w:rsidRPr="008C09C4" w:rsidRDefault="008C09C4" w:rsidP="008C09C4">
            <w:pPr>
              <w:spacing w:after="0" w:line="240" w:lineRule="auto"/>
              <w:rPr>
                <w:rFonts w:ascii="Calibri" w:eastAsia="Times New Roman" w:hAnsi="Calibri" w:cs="Calibri"/>
                <w:color w:val="000000"/>
                <w:lang w:eastAsia="en-IN"/>
              </w:rPr>
            </w:pPr>
            <w:r w:rsidRPr="008C09C4">
              <w:rPr>
                <w:rFonts w:ascii="Calibri" w:eastAsia="Times New Roman" w:hAnsi="Calibri" w:cs="Calibri"/>
                <w:color w:val="000000"/>
                <w:lang w:eastAsia="en-IN"/>
              </w:rPr>
              <w:t>Opening Balance</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0</w:t>
            </w:r>
          </w:p>
        </w:tc>
        <w:tc>
          <w:tcPr>
            <w:tcW w:w="88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1</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23</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125</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218</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253</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291</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335</w:t>
            </w:r>
          </w:p>
        </w:tc>
      </w:tr>
      <w:tr w:rsidR="008C09C4" w:rsidRPr="008C09C4" w:rsidTr="008C09C4">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2</w:t>
            </w:r>
          </w:p>
        </w:tc>
        <w:tc>
          <w:tcPr>
            <w:tcW w:w="2392" w:type="dxa"/>
            <w:tcBorders>
              <w:top w:val="nil"/>
              <w:left w:val="nil"/>
              <w:bottom w:val="single" w:sz="4" w:space="0" w:color="auto"/>
              <w:right w:val="single" w:sz="4" w:space="0" w:color="auto"/>
            </w:tcBorders>
            <w:shd w:val="clear" w:color="auto" w:fill="auto"/>
            <w:noWrap/>
            <w:vAlign w:val="bottom"/>
            <w:hideMark/>
          </w:tcPr>
          <w:p w:rsidR="008C09C4" w:rsidRPr="008C09C4" w:rsidRDefault="008C09C4" w:rsidP="008C09C4">
            <w:pPr>
              <w:spacing w:after="0" w:line="240" w:lineRule="auto"/>
              <w:rPr>
                <w:rFonts w:ascii="Calibri" w:eastAsia="Times New Roman" w:hAnsi="Calibri" w:cs="Calibri"/>
                <w:color w:val="000000"/>
                <w:lang w:eastAsia="en-IN"/>
              </w:rPr>
            </w:pPr>
            <w:r w:rsidRPr="008C09C4">
              <w:rPr>
                <w:rFonts w:ascii="Calibri" w:eastAsia="Times New Roman" w:hAnsi="Calibri" w:cs="Calibri"/>
                <w:color w:val="000000"/>
                <w:lang w:eastAsia="en-IN"/>
              </w:rPr>
              <w:t>Additions</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1</w:t>
            </w:r>
          </w:p>
        </w:tc>
        <w:tc>
          <w:tcPr>
            <w:tcW w:w="88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20</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93</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71</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3</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0</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0</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2</w:t>
            </w:r>
          </w:p>
        </w:tc>
      </w:tr>
      <w:tr w:rsidR="008C09C4" w:rsidRPr="008C09C4" w:rsidTr="008C09C4">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3</w:t>
            </w:r>
          </w:p>
        </w:tc>
        <w:tc>
          <w:tcPr>
            <w:tcW w:w="2392" w:type="dxa"/>
            <w:tcBorders>
              <w:top w:val="nil"/>
              <w:left w:val="nil"/>
              <w:bottom w:val="single" w:sz="4" w:space="0" w:color="auto"/>
              <w:right w:val="single" w:sz="4" w:space="0" w:color="auto"/>
            </w:tcBorders>
            <w:shd w:val="clear" w:color="auto" w:fill="auto"/>
            <w:noWrap/>
            <w:vAlign w:val="bottom"/>
            <w:hideMark/>
          </w:tcPr>
          <w:p w:rsidR="008C09C4" w:rsidRPr="008C09C4" w:rsidRDefault="008C09C4" w:rsidP="008C09C4">
            <w:pPr>
              <w:spacing w:after="0" w:line="240" w:lineRule="auto"/>
              <w:rPr>
                <w:rFonts w:ascii="Calibri" w:eastAsia="Times New Roman" w:hAnsi="Calibri" w:cs="Calibri"/>
                <w:color w:val="000000"/>
                <w:lang w:eastAsia="en-IN"/>
              </w:rPr>
            </w:pPr>
            <w:r w:rsidRPr="008C09C4">
              <w:rPr>
                <w:rFonts w:ascii="Calibri" w:eastAsia="Times New Roman" w:hAnsi="Calibri" w:cs="Calibri"/>
                <w:color w:val="000000"/>
                <w:lang w:eastAsia="en-IN"/>
              </w:rPr>
              <w:t>Closing Balance</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1</w:t>
            </w:r>
          </w:p>
        </w:tc>
        <w:tc>
          <w:tcPr>
            <w:tcW w:w="88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22</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116</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196</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220</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253</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291</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336</w:t>
            </w:r>
          </w:p>
        </w:tc>
      </w:tr>
      <w:tr w:rsidR="008C09C4" w:rsidRPr="008C09C4" w:rsidTr="008C09C4">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4</w:t>
            </w:r>
          </w:p>
        </w:tc>
        <w:tc>
          <w:tcPr>
            <w:tcW w:w="2392" w:type="dxa"/>
            <w:tcBorders>
              <w:top w:val="nil"/>
              <w:left w:val="nil"/>
              <w:bottom w:val="single" w:sz="4" w:space="0" w:color="auto"/>
              <w:right w:val="single" w:sz="4" w:space="0" w:color="auto"/>
            </w:tcBorders>
            <w:shd w:val="clear" w:color="auto" w:fill="auto"/>
            <w:noWrap/>
            <w:vAlign w:val="bottom"/>
            <w:hideMark/>
          </w:tcPr>
          <w:p w:rsidR="008C09C4" w:rsidRPr="008C09C4" w:rsidRDefault="008C09C4" w:rsidP="008C09C4">
            <w:pPr>
              <w:spacing w:after="0" w:line="240" w:lineRule="auto"/>
              <w:rPr>
                <w:rFonts w:ascii="Calibri" w:eastAsia="Times New Roman" w:hAnsi="Calibri" w:cs="Calibri"/>
                <w:color w:val="000000"/>
                <w:lang w:eastAsia="en-IN"/>
              </w:rPr>
            </w:pPr>
            <w:r w:rsidRPr="008C09C4">
              <w:rPr>
                <w:rFonts w:ascii="Calibri" w:eastAsia="Times New Roman" w:hAnsi="Calibri" w:cs="Calibri"/>
                <w:color w:val="000000"/>
                <w:lang w:eastAsia="en-IN"/>
              </w:rPr>
              <w:t>Average</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1</w:t>
            </w:r>
          </w:p>
        </w:tc>
        <w:tc>
          <w:tcPr>
            <w:tcW w:w="88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12</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70</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161</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219</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253</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291</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335</w:t>
            </w:r>
          </w:p>
        </w:tc>
      </w:tr>
      <w:tr w:rsidR="008C09C4" w:rsidRPr="008C09C4" w:rsidTr="008C09C4">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5</w:t>
            </w:r>
          </w:p>
        </w:tc>
        <w:tc>
          <w:tcPr>
            <w:tcW w:w="2392" w:type="dxa"/>
            <w:tcBorders>
              <w:top w:val="nil"/>
              <w:left w:val="nil"/>
              <w:bottom w:val="single" w:sz="4" w:space="0" w:color="auto"/>
              <w:right w:val="single" w:sz="4" w:space="0" w:color="auto"/>
            </w:tcBorders>
            <w:shd w:val="clear" w:color="auto" w:fill="auto"/>
            <w:noWrap/>
            <w:vAlign w:val="bottom"/>
            <w:hideMark/>
          </w:tcPr>
          <w:p w:rsidR="008C09C4" w:rsidRPr="008C09C4" w:rsidRDefault="008C09C4" w:rsidP="008C09C4">
            <w:pPr>
              <w:spacing w:after="0" w:line="240" w:lineRule="auto"/>
              <w:rPr>
                <w:rFonts w:ascii="Calibri" w:eastAsia="Times New Roman" w:hAnsi="Calibri" w:cs="Calibri"/>
                <w:color w:val="000000"/>
                <w:lang w:eastAsia="en-IN"/>
              </w:rPr>
            </w:pPr>
            <w:r w:rsidRPr="008C09C4">
              <w:rPr>
                <w:rFonts w:ascii="Calibri" w:eastAsia="Times New Roman" w:hAnsi="Calibri" w:cs="Calibri"/>
                <w:color w:val="000000"/>
                <w:lang w:eastAsia="en-IN"/>
              </w:rPr>
              <w:t>Carrying cost rates</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13.68%</w:t>
            </w:r>
          </w:p>
        </w:tc>
        <w:tc>
          <w:tcPr>
            <w:tcW w:w="88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13.75%</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13.11%</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13.38%</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14.88%</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15.03%</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15.01%</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15.13%</w:t>
            </w:r>
          </w:p>
        </w:tc>
      </w:tr>
      <w:tr w:rsidR="008C09C4" w:rsidRPr="008C09C4" w:rsidTr="008C09C4">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6</w:t>
            </w:r>
          </w:p>
        </w:tc>
        <w:tc>
          <w:tcPr>
            <w:tcW w:w="2392" w:type="dxa"/>
            <w:tcBorders>
              <w:top w:val="nil"/>
              <w:left w:val="nil"/>
              <w:bottom w:val="single" w:sz="4" w:space="0" w:color="auto"/>
              <w:right w:val="single" w:sz="4" w:space="0" w:color="auto"/>
            </w:tcBorders>
            <w:shd w:val="clear" w:color="auto" w:fill="auto"/>
            <w:noWrap/>
            <w:vAlign w:val="bottom"/>
            <w:hideMark/>
          </w:tcPr>
          <w:p w:rsidR="008C09C4" w:rsidRPr="008C09C4" w:rsidRDefault="008C09C4" w:rsidP="008C09C4">
            <w:pPr>
              <w:spacing w:after="0" w:line="240" w:lineRule="auto"/>
              <w:rPr>
                <w:rFonts w:ascii="Calibri" w:eastAsia="Times New Roman" w:hAnsi="Calibri" w:cs="Calibri"/>
                <w:color w:val="000000"/>
                <w:lang w:eastAsia="en-IN"/>
              </w:rPr>
            </w:pPr>
            <w:r w:rsidRPr="008C09C4">
              <w:rPr>
                <w:rFonts w:ascii="Calibri" w:eastAsia="Times New Roman" w:hAnsi="Calibri" w:cs="Calibri"/>
                <w:color w:val="000000"/>
                <w:lang w:eastAsia="en-IN"/>
              </w:rPr>
              <w:t>Carrying cost</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0</w:t>
            </w:r>
          </w:p>
        </w:tc>
        <w:tc>
          <w:tcPr>
            <w:tcW w:w="88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2</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9</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22</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33</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38</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44</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51</w:t>
            </w:r>
          </w:p>
        </w:tc>
      </w:tr>
      <w:tr w:rsidR="008C09C4" w:rsidRPr="008C09C4" w:rsidTr="008C09C4">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8C09C4" w:rsidRPr="008C09C4" w:rsidRDefault="008C09C4" w:rsidP="008C09C4">
            <w:pPr>
              <w:spacing w:after="0" w:line="240" w:lineRule="auto"/>
              <w:jc w:val="center"/>
              <w:rPr>
                <w:rFonts w:ascii="Calibri" w:eastAsia="Times New Roman" w:hAnsi="Calibri" w:cs="Calibri"/>
                <w:b/>
                <w:bCs/>
                <w:color w:val="000000"/>
                <w:lang w:eastAsia="en-IN"/>
              </w:rPr>
            </w:pPr>
            <w:r w:rsidRPr="008C09C4">
              <w:rPr>
                <w:rFonts w:ascii="Calibri" w:eastAsia="Times New Roman" w:hAnsi="Calibri" w:cs="Calibri"/>
                <w:b/>
                <w:bCs/>
                <w:color w:val="000000"/>
                <w:lang w:eastAsia="en-IN"/>
              </w:rPr>
              <w:t>7</w:t>
            </w:r>
          </w:p>
        </w:tc>
        <w:tc>
          <w:tcPr>
            <w:tcW w:w="2392" w:type="dxa"/>
            <w:tcBorders>
              <w:top w:val="nil"/>
              <w:left w:val="nil"/>
              <w:bottom w:val="single" w:sz="4" w:space="0" w:color="auto"/>
              <w:right w:val="single" w:sz="4" w:space="0" w:color="auto"/>
            </w:tcBorders>
            <w:shd w:val="clear" w:color="auto" w:fill="auto"/>
            <w:noWrap/>
            <w:vAlign w:val="bottom"/>
            <w:hideMark/>
          </w:tcPr>
          <w:p w:rsidR="008C09C4" w:rsidRPr="008C09C4" w:rsidRDefault="008C09C4" w:rsidP="008C09C4">
            <w:pPr>
              <w:spacing w:after="0" w:line="240" w:lineRule="auto"/>
              <w:rPr>
                <w:rFonts w:ascii="Calibri" w:eastAsia="Times New Roman" w:hAnsi="Calibri" w:cs="Calibri"/>
                <w:b/>
                <w:bCs/>
                <w:color w:val="000000"/>
                <w:lang w:eastAsia="en-IN"/>
              </w:rPr>
            </w:pPr>
            <w:r w:rsidRPr="008C09C4">
              <w:rPr>
                <w:rFonts w:ascii="Calibri" w:eastAsia="Times New Roman" w:hAnsi="Calibri" w:cs="Calibri"/>
                <w:b/>
                <w:bCs/>
                <w:color w:val="000000"/>
                <w:lang w:eastAsia="en-IN"/>
              </w:rPr>
              <w:t>Grand closing balance</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b/>
                <w:bCs/>
                <w:color w:val="000000"/>
                <w:lang w:eastAsia="en-IN"/>
              </w:rPr>
            </w:pPr>
            <w:r w:rsidRPr="008C09C4">
              <w:rPr>
                <w:rFonts w:ascii="Calibri" w:eastAsia="Times New Roman" w:hAnsi="Calibri" w:cs="Calibri"/>
                <w:b/>
                <w:bCs/>
                <w:color w:val="000000"/>
                <w:lang w:eastAsia="en-IN"/>
              </w:rPr>
              <w:t>1</w:t>
            </w:r>
          </w:p>
        </w:tc>
        <w:tc>
          <w:tcPr>
            <w:tcW w:w="88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b/>
                <w:bCs/>
                <w:color w:val="000000"/>
                <w:lang w:eastAsia="en-IN"/>
              </w:rPr>
            </w:pPr>
            <w:r w:rsidRPr="008C09C4">
              <w:rPr>
                <w:rFonts w:ascii="Calibri" w:eastAsia="Times New Roman" w:hAnsi="Calibri" w:cs="Calibri"/>
                <w:b/>
                <w:bCs/>
                <w:color w:val="000000"/>
                <w:lang w:eastAsia="en-IN"/>
              </w:rPr>
              <w:t>23</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b/>
                <w:bCs/>
                <w:color w:val="000000"/>
                <w:lang w:eastAsia="en-IN"/>
              </w:rPr>
            </w:pPr>
            <w:r w:rsidRPr="008C09C4">
              <w:rPr>
                <w:rFonts w:ascii="Calibri" w:eastAsia="Times New Roman" w:hAnsi="Calibri" w:cs="Calibri"/>
                <w:b/>
                <w:bCs/>
                <w:color w:val="000000"/>
                <w:lang w:eastAsia="en-IN"/>
              </w:rPr>
              <w:t>125</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b/>
                <w:bCs/>
                <w:color w:val="000000"/>
                <w:lang w:eastAsia="en-IN"/>
              </w:rPr>
            </w:pPr>
            <w:r w:rsidRPr="008C09C4">
              <w:rPr>
                <w:rFonts w:ascii="Calibri" w:eastAsia="Times New Roman" w:hAnsi="Calibri" w:cs="Calibri"/>
                <w:b/>
                <w:bCs/>
                <w:color w:val="000000"/>
                <w:lang w:eastAsia="en-IN"/>
              </w:rPr>
              <w:t>218</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b/>
                <w:bCs/>
                <w:color w:val="000000"/>
                <w:lang w:eastAsia="en-IN"/>
              </w:rPr>
            </w:pPr>
            <w:r w:rsidRPr="008C09C4">
              <w:rPr>
                <w:rFonts w:ascii="Calibri" w:eastAsia="Times New Roman" w:hAnsi="Calibri" w:cs="Calibri"/>
                <w:b/>
                <w:bCs/>
                <w:color w:val="000000"/>
                <w:lang w:eastAsia="en-IN"/>
              </w:rPr>
              <w:t>253</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b/>
                <w:bCs/>
                <w:color w:val="000000"/>
                <w:lang w:eastAsia="en-IN"/>
              </w:rPr>
            </w:pPr>
            <w:r w:rsidRPr="008C09C4">
              <w:rPr>
                <w:rFonts w:ascii="Calibri" w:eastAsia="Times New Roman" w:hAnsi="Calibri" w:cs="Calibri"/>
                <w:b/>
                <w:bCs/>
                <w:color w:val="000000"/>
                <w:lang w:eastAsia="en-IN"/>
              </w:rPr>
              <w:t>291</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b/>
                <w:bCs/>
                <w:color w:val="000000"/>
                <w:lang w:eastAsia="en-IN"/>
              </w:rPr>
            </w:pPr>
            <w:r w:rsidRPr="008C09C4">
              <w:rPr>
                <w:rFonts w:ascii="Calibri" w:eastAsia="Times New Roman" w:hAnsi="Calibri" w:cs="Calibri"/>
                <w:b/>
                <w:bCs/>
                <w:color w:val="000000"/>
                <w:lang w:eastAsia="en-IN"/>
              </w:rPr>
              <w:t>335</w:t>
            </w:r>
          </w:p>
        </w:tc>
        <w:tc>
          <w:tcPr>
            <w:tcW w:w="875"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8C09C4">
            <w:pPr>
              <w:spacing w:after="0" w:line="240" w:lineRule="auto"/>
              <w:jc w:val="center"/>
              <w:rPr>
                <w:rFonts w:ascii="Calibri" w:eastAsia="Times New Roman" w:hAnsi="Calibri" w:cs="Calibri"/>
                <w:b/>
                <w:bCs/>
                <w:color w:val="000000"/>
                <w:lang w:eastAsia="en-IN"/>
              </w:rPr>
            </w:pPr>
            <w:r w:rsidRPr="008C09C4">
              <w:rPr>
                <w:rFonts w:ascii="Calibri" w:eastAsia="Times New Roman" w:hAnsi="Calibri" w:cs="Calibri"/>
                <w:b/>
                <w:bCs/>
                <w:color w:val="000000"/>
                <w:lang w:eastAsia="en-IN"/>
              </w:rPr>
              <w:t>387</w:t>
            </w:r>
          </w:p>
        </w:tc>
      </w:tr>
    </w:tbl>
    <w:p w:rsidR="008C09C4" w:rsidRPr="00AE0294" w:rsidRDefault="008C09C4" w:rsidP="006A2361">
      <w:pPr>
        <w:pStyle w:val="ARRB11"/>
        <w:numPr>
          <w:ilvl w:val="0"/>
          <w:numId w:val="0"/>
        </w:numPr>
        <w:tabs>
          <w:tab w:val="clear" w:pos="1440"/>
        </w:tabs>
        <w:ind w:left="993"/>
        <w:rPr>
          <w:szCs w:val="24"/>
        </w:rPr>
      </w:pPr>
    </w:p>
    <w:tbl>
      <w:tblPr>
        <w:tblW w:w="9692" w:type="dxa"/>
        <w:tblLook w:val="04A0" w:firstRow="1" w:lastRow="0" w:firstColumn="1" w:lastColumn="0" w:noHBand="0" w:noVBand="1"/>
      </w:tblPr>
      <w:tblGrid>
        <w:gridCol w:w="960"/>
        <w:gridCol w:w="2012"/>
        <w:gridCol w:w="960"/>
        <w:gridCol w:w="960"/>
        <w:gridCol w:w="960"/>
        <w:gridCol w:w="960"/>
        <w:gridCol w:w="960"/>
        <w:gridCol w:w="960"/>
        <w:gridCol w:w="960"/>
      </w:tblGrid>
      <w:tr w:rsidR="008C09C4" w:rsidRPr="008C09C4" w:rsidTr="008C09C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C09C4" w:rsidRPr="008C09C4" w:rsidRDefault="008C09C4" w:rsidP="008C09C4">
            <w:pPr>
              <w:spacing w:after="0" w:line="240" w:lineRule="auto"/>
              <w:jc w:val="center"/>
              <w:rPr>
                <w:rFonts w:ascii="Calibri" w:eastAsia="Times New Roman" w:hAnsi="Calibri" w:cs="Calibri"/>
                <w:b/>
                <w:bCs/>
                <w:color w:val="000000"/>
                <w:lang w:eastAsia="en-IN"/>
              </w:rPr>
            </w:pPr>
            <w:r w:rsidRPr="008C09C4">
              <w:rPr>
                <w:rFonts w:ascii="Calibri" w:eastAsia="Times New Roman" w:hAnsi="Calibri" w:cs="Calibri"/>
                <w:b/>
                <w:bCs/>
                <w:color w:val="000000"/>
                <w:lang w:eastAsia="en-IN"/>
              </w:rPr>
              <w:t>S. No</w:t>
            </w:r>
          </w:p>
        </w:tc>
        <w:tc>
          <w:tcPr>
            <w:tcW w:w="2012" w:type="dxa"/>
            <w:tcBorders>
              <w:top w:val="single" w:sz="4" w:space="0" w:color="auto"/>
              <w:left w:val="nil"/>
              <w:bottom w:val="single" w:sz="4" w:space="0" w:color="auto"/>
              <w:right w:val="single" w:sz="4" w:space="0" w:color="auto"/>
            </w:tcBorders>
            <w:shd w:val="clear" w:color="auto" w:fill="auto"/>
            <w:noWrap/>
            <w:vAlign w:val="bottom"/>
            <w:hideMark/>
          </w:tcPr>
          <w:p w:rsidR="008C09C4" w:rsidRPr="008C09C4" w:rsidRDefault="008C09C4" w:rsidP="008C09C4">
            <w:pPr>
              <w:spacing w:after="0" w:line="240" w:lineRule="auto"/>
              <w:rPr>
                <w:rFonts w:ascii="Calibri" w:eastAsia="Times New Roman" w:hAnsi="Calibri" w:cs="Calibri"/>
                <w:b/>
                <w:bCs/>
                <w:color w:val="000000"/>
                <w:lang w:eastAsia="en-IN"/>
              </w:rPr>
            </w:pPr>
            <w:r w:rsidRPr="008C09C4">
              <w:rPr>
                <w:rFonts w:ascii="Calibri" w:eastAsia="Times New Roman" w:hAnsi="Calibri" w:cs="Calibri"/>
                <w:b/>
                <w:bCs/>
                <w:color w:val="000000"/>
                <w:lang w:eastAsia="en-IN"/>
              </w:rPr>
              <w:t>Particulars</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8C09C4" w:rsidRPr="008C09C4" w:rsidRDefault="008C09C4" w:rsidP="008C09C4">
            <w:pPr>
              <w:spacing w:after="0" w:line="240" w:lineRule="auto"/>
              <w:jc w:val="center"/>
              <w:rPr>
                <w:rFonts w:ascii="Calibri" w:eastAsia="Times New Roman" w:hAnsi="Calibri" w:cs="Calibri"/>
                <w:b/>
                <w:bCs/>
                <w:color w:val="000000"/>
                <w:lang w:eastAsia="en-IN"/>
              </w:rPr>
            </w:pPr>
            <w:r w:rsidRPr="008C09C4">
              <w:rPr>
                <w:rFonts w:ascii="Calibri" w:eastAsia="Times New Roman" w:hAnsi="Calibri" w:cs="Calibri"/>
                <w:b/>
                <w:bCs/>
                <w:color w:val="000000"/>
                <w:lang w:eastAsia="en-IN"/>
              </w:rPr>
              <w:t>FY 16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8C09C4" w:rsidRPr="008C09C4" w:rsidRDefault="008C09C4" w:rsidP="008C09C4">
            <w:pPr>
              <w:spacing w:after="0" w:line="240" w:lineRule="auto"/>
              <w:jc w:val="center"/>
              <w:rPr>
                <w:rFonts w:ascii="Calibri" w:eastAsia="Times New Roman" w:hAnsi="Calibri" w:cs="Calibri"/>
                <w:b/>
                <w:bCs/>
                <w:color w:val="000000"/>
                <w:lang w:eastAsia="en-IN"/>
              </w:rPr>
            </w:pPr>
            <w:r w:rsidRPr="008C09C4">
              <w:rPr>
                <w:rFonts w:ascii="Calibri" w:eastAsia="Times New Roman" w:hAnsi="Calibri" w:cs="Calibri"/>
                <w:b/>
                <w:bCs/>
                <w:color w:val="000000"/>
                <w:lang w:eastAsia="en-IN"/>
              </w:rPr>
              <w:t>FY 17</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8C09C4" w:rsidRPr="008C09C4" w:rsidRDefault="008C09C4" w:rsidP="008C09C4">
            <w:pPr>
              <w:spacing w:after="0" w:line="240" w:lineRule="auto"/>
              <w:jc w:val="center"/>
              <w:rPr>
                <w:rFonts w:ascii="Calibri" w:eastAsia="Times New Roman" w:hAnsi="Calibri" w:cs="Calibri"/>
                <w:b/>
                <w:bCs/>
                <w:color w:val="000000"/>
                <w:lang w:eastAsia="en-IN"/>
              </w:rPr>
            </w:pPr>
            <w:r w:rsidRPr="008C09C4">
              <w:rPr>
                <w:rFonts w:ascii="Calibri" w:eastAsia="Times New Roman" w:hAnsi="Calibri" w:cs="Calibri"/>
                <w:b/>
                <w:bCs/>
                <w:color w:val="000000"/>
                <w:lang w:eastAsia="en-IN"/>
              </w:rPr>
              <w:t>FY 18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8C09C4" w:rsidRPr="008C09C4" w:rsidRDefault="008C09C4" w:rsidP="008C09C4">
            <w:pPr>
              <w:spacing w:after="0" w:line="240" w:lineRule="auto"/>
              <w:jc w:val="center"/>
              <w:rPr>
                <w:rFonts w:ascii="Calibri" w:eastAsia="Times New Roman" w:hAnsi="Calibri" w:cs="Calibri"/>
                <w:b/>
                <w:bCs/>
                <w:color w:val="000000"/>
                <w:lang w:eastAsia="en-IN"/>
              </w:rPr>
            </w:pPr>
            <w:r w:rsidRPr="008C09C4">
              <w:rPr>
                <w:rFonts w:ascii="Calibri" w:eastAsia="Times New Roman" w:hAnsi="Calibri" w:cs="Calibri"/>
                <w:b/>
                <w:bCs/>
                <w:color w:val="000000"/>
                <w:lang w:eastAsia="en-IN"/>
              </w:rPr>
              <w:t>FY 19</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8C09C4" w:rsidRPr="008C09C4" w:rsidRDefault="008C09C4" w:rsidP="008C09C4">
            <w:pPr>
              <w:spacing w:after="0" w:line="240" w:lineRule="auto"/>
              <w:jc w:val="center"/>
              <w:rPr>
                <w:rFonts w:ascii="Calibri" w:eastAsia="Times New Roman" w:hAnsi="Calibri" w:cs="Calibri"/>
                <w:b/>
                <w:bCs/>
                <w:color w:val="000000"/>
                <w:lang w:eastAsia="en-IN"/>
              </w:rPr>
            </w:pPr>
            <w:r w:rsidRPr="008C09C4">
              <w:rPr>
                <w:rFonts w:ascii="Calibri" w:eastAsia="Times New Roman" w:hAnsi="Calibri" w:cs="Calibri"/>
                <w:b/>
                <w:bCs/>
                <w:color w:val="000000"/>
                <w:lang w:eastAsia="en-IN"/>
              </w:rPr>
              <w:t>FY 20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8C09C4" w:rsidRPr="008C09C4" w:rsidRDefault="008C09C4" w:rsidP="008C09C4">
            <w:pPr>
              <w:spacing w:after="0" w:line="240" w:lineRule="auto"/>
              <w:jc w:val="center"/>
              <w:rPr>
                <w:rFonts w:ascii="Calibri" w:eastAsia="Times New Roman" w:hAnsi="Calibri" w:cs="Calibri"/>
                <w:b/>
                <w:bCs/>
                <w:color w:val="000000"/>
                <w:lang w:eastAsia="en-IN"/>
              </w:rPr>
            </w:pPr>
            <w:r w:rsidRPr="008C09C4">
              <w:rPr>
                <w:rFonts w:ascii="Calibri" w:eastAsia="Times New Roman" w:hAnsi="Calibri" w:cs="Calibri"/>
                <w:b/>
                <w:bCs/>
                <w:color w:val="000000"/>
                <w:lang w:eastAsia="en-IN"/>
              </w:rPr>
              <w:t>FY 21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8C09C4" w:rsidRPr="008C09C4" w:rsidRDefault="008C09C4" w:rsidP="008C09C4">
            <w:pPr>
              <w:spacing w:after="0" w:line="240" w:lineRule="auto"/>
              <w:jc w:val="center"/>
              <w:rPr>
                <w:rFonts w:ascii="Calibri" w:eastAsia="Times New Roman" w:hAnsi="Calibri" w:cs="Calibri"/>
                <w:b/>
                <w:bCs/>
                <w:color w:val="000000"/>
                <w:lang w:eastAsia="en-IN"/>
              </w:rPr>
            </w:pPr>
            <w:r w:rsidRPr="008C09C4">
              <w:rPr>
                <w:rFonts w:ascii="Calibri" w:eastAsia="Times New Roman" w:hAnsi="Calibri" w:cs="Calibri"/>
                <w:b/>
                <w:bCs/>
                <w:color w:val="000000"/>
                <w:lang w:eastAsia="en-IN"/>
              </w:rPr>
              <w:t>FY 22</w:t>
            </w:r>
          </w:p>
        </w:tc>
      </w:tr>
      <w:tr w:rsidR="008C09C4" w:rsidRPr="008C09C4" w:rsidTr="000314E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1</w:t>
            </w:r>
          </w:p>
        </w:tc>
        <w:tc>
          <w:tcPr>
            <w:tcW w:w="2012" w:type="dxa"/>
            <w:tcBorders>
              <w:top w:val="nil"/>
              <w:left w:val="nil"/>
              <w:bottom w:val="single" w:sz="4" w:space="0" w:color="auto"/>
              <w:right w:val="single" w:sz="4" w:space="0" w:color="auto"/>
            </w:tcBorders>
            <w:shd w:val="clear" w:color="auto" w:fill="auto"/>
            <w:noWrap/>
            <w:vAlign w:val="bottom"/>
            <w:hideMark/>
          </w:tcPr>
          <w:p w:rsidR="008C09C4" w:rsidRPr="008C09C4" w:rsidRDefault="008C09C4" w:rsidP="008C09C4">
            <w:pPr>
              <w:spacing w:after="0" w:line="240" w:lineRule="auto"/>
              <w:rPr>
                <w:rFonts w:ascii="Calibri" w:eastAsia="Times New Roman" w:hAnsi="Calibri" w:cs="Calibri"/>
                <w:color w:val="000000"/>
                <w:lang w:eastAsia="en-IN"/>
              </w:rPr>
            </w:pPr>
            <w:r w:rsidRPr="008C09C4">
              <w:rPr>
                <w:rFonts w:ascii="Calibri" w:eastAsia="Times New Roman" w:hAnsi="Calibri" w:cs="Calibri"/>
                <w:color w:val="000000"/>
                <w:lang w:eastAsia="en-IN"/>
              </w:rPr>
              <w:t>Opening Balance</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387</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456</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524</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598</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703</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801</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903</w:t>
            </w:r>
          </w:p>
        </w:tc>
      </w:tr>
      <w:tr w:rsidR="008C09C4" w:rsidRPr="008C09C4" w:rsidTr="000314E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2</w:t>
            </w:r>
          </w:p>
        </w:tc>
        <w:tc>
          <w:tcPr>
            <w:tcW w:w="2012" w:type="dxa"/>
            <w:tcBorders>
              <w:top w:val="nil"/>
              <w:left w:val="nil"/>
              <w:bottom w:val="single" w:sz="4" w:space="0" w:color="auto"/>
              <w:right w:val="single" w:sz="4" w:space="0" w:color="auto"/>
            </w:tcBorders>
            <w:shd w:val="clear" w:color="auto" w:fill="auto"/>
            <w:noWrap/>
            <w:vAlign w:val="bottom"/>
            <w:hideMark/>
          </w:tcPr>
          <w:p w:rsidR="008C09C4" w:rsidRPr="008C09C4" w:rsidRDefault="008C09C4" w:rsidP="008C09C4">
            <w:pPr>
              <w:spacing w:after="0" w:line="240" w:lineRule="auto"/>
              <w:rPr>
                <w:rFonts w:ascii="Calibri" w:eastAsia="Times New Roman" w:hAnsi="Calibri" w:cs="Calibri"/>
                <w:color w:val="000000"/>
                <w:lang w:eastAsia="en-IN"/>
              </w:rPr>
            </w:pPr>
            <w:r w:rsidRPr="008C09C4">
              <w:rPr>
                <w:rFonts w:ascii="Calibri" w:eastAsia="Times New Roman" w:hAnsi="Calibri" w:cs="Calibri"/>
                <w:color w:val="000000"/>
                <w:lang w:eastAsia="en-IN"/>
              </w:rPr>
              <w:t>Additions</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10.8</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1.8</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0.2</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19.6</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0.0</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0.0</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0.0</w:t>
            </w:r>
          </w:p>
        </w:tc>
      </w:tr>
      <w:tr w:rsidR="008C09C4" w:rsidRPr="008C09C4" w:rsidTr="000314E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3</w:t>
            </w:r>
          </w:p>
        </w:tc>
        <w:tc>
          <w:tcPr>
            <w:tcW w:w="2012" w:type="dxa"/>
            <w:tcBorders>
              <w:top w:val="nil"/>
              <w:left w:val="nil"/>
              <w:bottom w:val="single" w:sz="4" w:space="0" w:color="auto"/>
              <w:right w:val="single" w:sz="4" w:space="0" w:color="auto"/>
            </w:tcBorders>
            <w:shd w:val="clear" w:color="auto" w:fill="auto"/>
            <w:noWrap/>
            <w:vAlign w:val="bottom"/>
            <w:hideMark/>
          </w:tcPr>
          <w:p w:rsidR="008C09C4" w:rsidRPr="008C09C4" w:rsidRDefault="008C09C4" w:rsidP="008C09C4">
            <w:pPr>
              <w:spacing w:after="0" w:line="240" w:lineRule="auto"/>
              <w:rPr>
                <w:rFonts w:ascii="Calibri" w:eastAsia="Times New Roman" w:hAnsi="Calibri" w:cs="Calibri"/>
                <w:color w:val="000000"/>
                <w:lang w:eastAsia="en-IN"/>
              </w:rPr>
            </w:pPr>
            <w:r w:rsidRPr="008C09C4">
              <w:rPr>
                <w:rFonts w:ascii="Calibri" w:eastAsia="Times New Roman" w:hAnsi="Calibri" w:cs="Calibri"/>
                <w:color w:val="000000"/>
                <w:lang w:eastAsia="en-IN"/>
              </w:rPr>
              <w:t>Closing Balance</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398</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458</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525</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618</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703</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801</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903</w:t>
            </w:r>
          </w:p>
        </w:tc>
      </w:tr>
      <w:tr w:rsidR="008C09C4" w:rsidRPr="008C09C4" w:rsidTr="000314E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4</w:t>
            </w:r>
          </w:p>
        </w:tc>
        <w:tc>
          <w:tcPr>
            <w:tcW w:w="2012" w:type="dxa"/>
            <w:tcBorders>
              <w:top w:val="nil"/>
              <w:left w:val="nil"/>
              <w:bottom w:val="single" w:sz="4" w:space="0" w:color="auto"/>
              <w:right w:val="single" w:sz="4" w:space="0" w:color="auto"/>
            </w:tcBorders>
            <w:shd w:val="clear" w:color="auto" w:fill="auto"/>
            <w:noWrap/>
            <w:vAlign w:val="bottom"/>
            <w:hideMark/>
          </w:tcPr>
          <w:p w:rsidR="008C09C4" w:rsidRPr="008C09C4" w:rsidRDefault="008C09C4" w:rsidP="008C09C4">
            <w:pPr>
              <w:spacing w:after="0" w:line="240" w:lineRule="auto"/>
              <w:rPr>
                <w:rFonts w:ascii="Calibri" w:eastAsia="Times New Roman" w:hAnsi="Calibri" w:cs="Calibri"/>
                <w:color w:val="000000"/>
                <w:lang w:eastAsia="en-IN"/>
              </w:rPr>
            </w:pPr>
            <w:r w:rsidRPr="008C09C4">
              <w:rPr>
                <w:rFonts w:ascii="Calibri" w:eastAsia="Times New Roman" w:hAnsi="Calibri" w:cs="Calibri"/>
                <w:color w:val="000000"/>
                <w:lang w:eastAsia="en-IN"/>
              </w:rPr>
              <w:t>Average</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392</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457</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525</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608</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703</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801</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903</w:t>
            </w:r>
          </w:p>
        </w:tc>
      </w:tr>
      <w:tr w:rsidR="008C09C4" w:rsidRPr="008C09C4" w:rsidTr="000314E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5</w:t>
            </w:r>
          </w:p>
        </w:tc>
        <w:tc>
          <w:tcPr>
            <w:tcW w:w="2012" w:type="dxa"/>
            <w:tcBorders>
              <w:top w:val="nil"/>
              <w:left w:val="nil"/>
              <w:bottom w:val="single" w:sz="4" w:space="0" w:color="auto"/>
              <w:right w:val="single" w:sz="4" w:space="0" w:color="auto"/>
            </w:tcBorders>
            <w:shd w:val="clear" w:color="auto" w:fill="auto"/>
            <w:noWrap/>
            <w:vAlign w:val="bottom"/>
            <w:hideMark/>
          </w:tcPr>
          <w:p w:rsidR="008C09C4" w:rsidRPr="008C09C4" w:rsidRDefault="008C09C4" w:rsidP="008C09C4">
            <w:pPr>
              <w:spacing w:after="0" w:line="240" w:lineRule="auto"/>
              <w:rPr>
                <w:rFonts w:ascii="Calibri" w:eastAsia="Times New Roman" w:hAnsi="Calibri" w:cs="Calibri"/>
                <w:color w:val="000000"/>
                <w:lang w:eastAsia="en-IN"/>
              </w:rPr>
            </w:pPr>
            <w:r w:rsidRPr="008C09C4">
              <w:rPr>
                <w:rFonts w:ascii="Calibri" w:eastAsia="Times New Roman" w:hAnsi="Calibri" w:cs="Calibri"/>
                <w:color w:val="000000"/>
                <w:lang w:eastAsia="en-IN"/>
              </w:rPr>
              <w:t>Carrying cost rates</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14.80%</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14.64%</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14.00%</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14.00%</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14.00%</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12.74%</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12.08%</w:t>
            </w:r>
          </w:p>
        </w:tc>
      </w:tr>
      <w:tr w:rsidR="008C09C4" w:rsidRPr="008C09C4" w:rsidTr="000314E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C09C4" w:rsidRPr="008C09C4" w:rsidRDefault="008C09C4" w:rsidP="008C09C4">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6</w:t>
            </w:r>
          </w:p>
        </w:tc>
        <w:tc>
          <w:tcPr>
            <w:tcW w:w="2012" w:type="dxa"/>
            <w:tcBorders>
              <w:top w:val="nil"/>
              <w:left w:val="nil"/>
              <w:bottom w:val="single" w:sz="4" w:space="0" w:color="auto"/>
              <w:right w:val="single" w:sz="4" w:space="0" w:color="auto"/>
            </w:tcBorders>
            <w:shd w:val="clear" w:color="auto" w:fill="auto"/>
            <w:noWrap/>
            <w:vAlign w:val="bottom"/>
            <w:hideMark/>
          </w:tcPr>
          <w:p w:rsidR="008C09C4" w:rsidRPr="008C09C4" w:rsidRDefault="008C09C4" w:rsidP="008C09C4">
            <w:pPr>
              <w:spacing w:after="0" w:line="240" w:lineRule="auto"/>
              <w:rPr>
                <w:rFonts w:ascii="Calibri" w:eastAsia="Times New Roman" w:hAnsi="Calibri" w:cs="Calibri"/>
                <w:color w:val="000000"/>
                <w:lang w:eastAsia="en-IN"/>
              </w:rPr>
            </w:pPr>
            <w:r w:rsidRPr="008C09C4">
              <w:rPr>
                <w:rFonts w:ascii="Calibri" w:eastAsia="Times New Roman" w:hAnsi="Calibri" w:cs="Calibri"/>
                <w:color w:val="000000"/>
                <w:lang w:eastAsia="en-IN"/>
              </w:rPr>
              <w:t>Carrying cost</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58</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67</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73</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85</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98</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102</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color w:val="000000"/>
                <w:lang w:eastAsia="en-IN"/>
              </w:rPr>
            </w:pPr>
            <w:r w:rsidRPr="008C09C4">
              <w:rPr>
                <w:rFonts w:ascii="Calibri" w:eastAsia="Times New Roman" w:hAnsi="Calibri" w:cs="Calibri"/>
                <w:color w:val="000000"/>
                <w:lang w:eastAsia="en-IN"/>
              </w:rPr>
              <w:t>109</w:t>
            </w:r>
          </w:p>
        </w:tc>
      </w:tr>
      <w:tr w:rsidR="008C09C4" w:rsidRPr="008C09C4" w:rsidTr="000314E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C09C4" w:rsidRPr="008C09C4" w:rsidRDefault="008C09C4" w:rsidP="008C09C4">
            <w:pPr>
              <w:spacing w:after="0" w:line="240" w:lineRule="auto"/>
              <w:jc w:val="center"/>
              <w:rPr>
                <w:rFonts w:ascii="Calibri" w:eastAsia="Times New Roman" w:hAnsi="Calibri" w:cs="Calibri"/>
                <w:b/>
                <w:bCs/>
                <w:color w:val="000000"/>
                <w:lang w:eastAsia="en-IN"/>
              </w:rPr>
            </w:pPr>
            <w:r w:rsidRPr="008C09C4">
              <w:rPr>
                <w:rFonts w:ascii="Calibri" w:eastAsia="Times New Roman" w:hAnsi="Calibri" w:cs="Calibri"/>
                <w:b/>
                <w:bCs/>
                <w:color w:val="000000"/>
                <w:lang w:eastAsia="en-IN"/>
              </w:rPr>
              <w:t>7</w:t>
            </w:r>
          </w:p>
        </w:tc>
        <w:tc>
          <w:tcPr>
            <w:tcW w:w="2012" w:type="dxa"/>
            <w:tcBorders>
              <w:top w:val="nil"/>
              <w:left w:val="nil"/>
              <w:bottom w:val="single" w:sz="4" w:space="0" w:color="auto"/>
              <w:right w:val="single" w:sz="4" w:space="0" w:color="auto"/>
            </w:tcBorders>
            <w:shd w:val="clear" w:color="auto" w:fill="auto"/>
            <w:noWrap/>
            <w:vAlign w:val="bottom"/>
            <w:hideMark/>
          </w:tcPr>
          <w:p w:rsidR="008C09C4" w:rsidRPr="008C09C4" w:rsidRDefault="008C09C4" w:rsidP="008C09C4">
            <w:pPr>
              <w:spacing w:after="0" w:line="240" w:lineRule="auto"/>
              <w:rPr>
                <w:rFonts w:ascii="Calibri" w:eastAsia="Times New Roman" w:hAnsi="Calibri" w:cs="Calibri"/>
                <w:b/>
                <w:bCs/>
                <w:color w:val="000000"/>
                <w:lang w:eastAsia="en-IN"/>
              </w:rPr>
            </w:pPr>
            <w:r w:rsidRPr="008C09C4">
              <w:rPr>
                <w:rFonts w:ascii="Calibri" w:eastAsia="Times New Roman" w:hAnsi="Calibri" w:cs="Calibri"/>
                <w:b/>
                <w:bCs/>
                <w:color w:val="000000"/>
                <w:lang w:eastAsia="en-IN"/>
              </w:rPr>
              <w:t>Grand closing balance</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b/>
                <w:bCs/>
                <w:color w:val="000000"/>
                <w:lang w:eastAsia="en-IN"/>
              </w:rPr>
            </w:pPr>
            <w:r w:rsidRPr="008C09C4">
              <w:rPr>
                <w:rFonts w:ascii="Calibri" w:eastAsia="Times New Roman" w:hAnsi="Calibri" w:cs="Calibri"/>
                <w:b/>
                <w:bCs/>
                <w:color w:val="000000"/>
                <w:lang w:eastAsia="en-IN"/>
              </w:rPr>
              <w:t>456</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b/>
                <w:bCs/>
                <w:color w:val="000000"/>
                <w:lang w:eastAsia="en-IN"/>
              </w:rPr>
            </w:pPr>
            <w:r w:rsidRPr="008C09C4">
              <w:rPr>
                <w:rFonts w:ascii="Calibri" w:eastAsia="Times New Roman" w:hAnsi="Calibri" w:cs="Calibri"/>
                <w:b/>
                <w:bCs/>
                <w:color w:val="000000"/>
                <w:lang w:eastAsia="en-IN"/>
              </w:rPr>
              <w:t>524</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b/>
                <w:bCs/>
                <w:color w:val="000000"/>
                <w:lang w:eastAsia="en-IN"/>
              </w:rPr>
            </w:pPr>
            <w:r w:rsidRPr="008C09C4">
              <w:rPr>
                <w:rFonts w:ascii="Calibri" w:eastAsia="Times New Roman" w:hAnsi="Calibri" w:cs="Calibri"/>
                <w:b/>
                <w:bCs/>
                <w:color w:val="000000"/>
                <w:lang w:eastAsia="en-IN"/>
              </w:rPr>
              <w:t>598</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b/>
                <w:bCs/>
                <w:color w:val="000000"/>
                <w:lang w:eastAsia="en-IN"/>
              </w:rPr>
            </w:pPr>
            <w:r w:rsidRPr="008C09C4">
              <w:rPr>
                <w:rFonts w:ascii="Calibri" w:eastAsia="Times New Roman" w:hAnsi="Calibri" w:cs="Calibri"/>
                <w:b/>
                <w:bCs/>
                <w:color w:val="000000"/>
                <w:lang w:eastAsia="en-IN"/>
              </w:rPr>
              <w:t>703</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b/>
                <w:bCs/>
                <w:color w:val="000000"/>
                <w:lang w:eastAsia="en-IN"/>
              </w:rPr>
            </w:pPr>
            <w:r w:rsidRPr="008C09C4">
              <w:rPr>
                <w:rFonts w:ascii="Calibri" w:eastAsia="Times New Roman" w:hAnsi="Calibri" w:cs="Calibri"/>
                <w:b/>
                <w:bCs/>
                <w:color w:val="000000"/>
                <w:lang w:eastAsia="en-IN"/>
              </w:rPr>
              <w:t>801</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b/>
                <w:bCs/>
                <w:color w:val="000000"/>
                <w:lang w:eastAsia="en-IN"/>
              </w:rPr>
            </w:pPr>
            <w:r w:rsidRPr="008C09C4">
              <w:rPr>
                <w:rFonts w:ascii="Calibri" w:eastAsia="Times New Roman" w:hAnsi="Calibri" w:cs="Calibri"/>
                <w:b/>
                <w:bCs/>
                <w:color w:val="000000"/>
                <w:lang w:eastAsia="en-IN"/>
              </w:rPr>
              <w:t>903</w:t>
            </w:r>
          </w:p>
        </w:tc>
        <w:tc>
          <w:tcPr>
            <w:tcW w:w="960" w:type="dxa"/>
            <w:tcBorders>
              <w:top w:val="nil"/>
              <w:left w:val="nil"/>
              <w:bottom w:val="single" w:sz="4" w:space="0" w:color="auto"/>
              <w:right w:val="single" w:sz="4" w:space="0" w:color="auto"/>
            </w:tcBorders>
            <w:shd w:val="clear" w:color="auto" w:fill="auto"/>
            <w:noWrap/>
            <w:vAlign w:val="center"/>
            <w:hideMark/>
          </w:tcPr>
          <w:p w:rsidR="008C09C4" w:rsidRPr="008C09C4" w:rsidRDefault="008C09C4" w:rsidP="000314E3">
            <w:pPr>
              <w:spacing w:after="0" w:line="240" w:lineRule="auto"/>
              <w:jc w:val="center"/>
              <w:rPr>
                <w:rFonts w:ascii="Calibri" w:eastAsia="Times New Roman" w:hAnsi="Calibri" w:cs="Calibri"/>
                <w:b/>
                <w:bCs/>
                <w:color w:val="000000"/>
                <w:lang w:eastAsia="en-IN"/>
              </w:rPr>
            </w:pPr>
            <w:r w:rsidRPr="008C09C4">
              <w:rPr>
                <w:rFonts w:ascii="Calibri" w:eastAsia="Times New Roman" w:hAnsi="Calibri" w:cs="Calibri"/>
                <w:b/>
                <w:bCs/>
                <w:color w:val="000000"/>
                <w:lang w:eastAsia="en-IN"/>
              </w:rPr>
              <w:t>1013</w:t>
            </w:r>
          </w:p>
        </w:tc>
      </w:tr>
    </w:tbl>
    <w:p w:rsidR="000314E3" w:rsidRDefault="000314E3" w:rsidP="009141CD">
      <w:pPr>
        <w:pStyle w:val="Heading2"/>
        <w:rPr>
          <w:rFonts w:asciiTheme="minorHAnsi" w:hAnsiTheme="minorHAnsi" w:cstheme="minorHAnsi"/>
          <w:sz w:val="24"/>
          <w:szCs w:val="24"/>
        </w:rPr>
      </w:pPr>
    </w:p>
    <w:p w:rsidR="009141CD" w:rsidRPr="00AE0294" w:rsidRDefault="007A3406" w:rsidP="009141CD">
      <w:pPr>
        <w:pStyle w:val="Heading2"/>
        <w:rPr>
          <w:rFonts w:asciiTheme="minorHAnsi" w:hAnsiTheme="minorHAnsi" w:cstheme="minorHAnsi"/>
          <w:sz w:val="24"/>
          <w:szCs w:val="24"/>
        </w:rPr>
      </w:pPr>
      <w:r w:rsidRPr="00AE0294">
        <w:rPr>
          <w:rFonts w:asciiTheme="minorHAnsi" w:hAnsiTheme="minorHAnsi" w:cstheme="minorHAnsi"/>
          <w:sz w:val="24"/>
          <w:szCs w:val="24"/>
        </w:rPr>
        <w:t>Issue-2</w:t>
      </w:r>
      <w:r w:rsidR="009141CD" w:rsidRPr="00AE0294">
        <w:rPr>
          <w:rFonts w:asciiTheme="minorHAnsi" w:hAnsiTheme="minorHAnsi" w:cstheme="minorHAnsi"/>
          <w:sz w:val="24"/>
          <w:szCs w:val="24"/>
        </w:rPr>
        <w:t>.2: Disallowances of P</w:t>
      </w:r>
      <w:r w:rsidR="00D633F0" w:rsidRPr="00AE0294">
        <w:rPr>
          <w:rFonts w:asciiTheme="minorHAnsi" w:hAnsiTheme="minorHAnsi" w:cstheme="minorHAnsi"/>
          <w:sz w:val="24"/>
          <w:szCs w:val="24"/>
        </w:rPr>
        <w:t xml:space="preserve">ower </w:t>
      </w:r>
      <w:r w:rsidR="009141CD" w:rsidRPr="00AE0294">
        <w:rPr>
          <w:rFonts w:asciiTheme="minorHAnsi" w:hAnsiTheme="minorHAnsi" w:cstheme="minorHAnsi"/>
          <w:sz w:val="24"/>
          <w:szCs w:val="24"/>
        </w:rPr>
        <w:t>P</w:t>
      </w:r>
      <w:r w:rsidR="00D633F0" w:rsidRPr="00AE0294">
        <w:rPr>
          <w:rFonts w:asciiTheme="minorHAnsi" w:hAnsiTheme="minorHAnsi" w:cstheme="minorHAnsi"/>
          <w:sz w:val="24"/>
          <w:szCs w:val="24"/>
        </w:rPr>
        <w:t>urchase</w:t>
      </w:r>
      <w:r w:rsidR="009141CD" w:rsidRPr="00AE0294">
        <w:rPr>
          <w:rFonts w:asciiTheme="minorHAnsi" w:hAnsiTheme="minorHAnsi" w:cstheme="minorHAnsi"/>
          <w:sz w:val="24"/>
          <w:szCs w:val="24"/>
        </w:rPr>
        <w:t xml:space="preserve"> cost </w:t>
      </w:r>
      <w:r w:rsidR="00CE618F" w:rsidRPr="00AE0294">
        <w:rPr>
          <w:rFonts w:asciiTheme="minorHAnsi" w:hAnsiTheme="minorHAnsi" w:cstheme="minorHAnsi"/>
          <w:sz w:val="24"/>
          <w:szCs w:val="24"/>
        </w:rPr>
        <w:t xml:space="preserve">for FY 2013-14 </w:t>
      </w:r>
      <w:r w:rsidR="009141CD" w:rsidRPr="00AE0294">
        <w:rPr>
          <w:rFonts w:asciiTheme="minorHAnsi" w:hAnsiTheme="minorHAnsi" w:cstheme="minorHAnsi"/>
          <w:sz w:val="24"/>
          <w:szCs w:val="24"/>
        </w:rPr>
        <w:t>on</w:t>
      </w:r>
      <w:r w:rsidR="00CE618F" w:rsidRPr="00AE0294">
        <w:rPr>
          <w:rFonts w:asciiTheme="minorHAnsi" w:hAnsiTheme="minorHAnsi" w:cstheme="minorHAnsi"/>
          <w:sz w:val="24"/>
          <w:szCs w:val="24"/>
        </w:rPr>
        <w:t xml:space="preserve"> account of </w:t>
      </w:r>
      <w:r w:rsidR="009141CD" w:rsidRPr="00AE0294">
        <w:rPr>
          <w:rFonts w:asciiTheme="minorHAnsi" w:hAnsiTheme="minorHAnsi" w:cstheme="minorHAnsi"/>
          <w:sz w:val="24"/>
          <w:szCs w:val="24"/>
        </w:rPr>
        <w:t xml:space="preserve">MOD </w:t>
      </w:r>
      <w:bookmarkEnd w:id="12"/>
    </w:p>
    <w:p w:rsidR="00AB4A05" w:rsidRPr="00AE0294" w:rsidRDefault="00AB4A05" w:rsidP="00AB4A05">
      <w:pPr>
        <w:pStyle w:val="ARRB11"/>
        <w:numPr>
          <w:ilvl w:val="1"/>
          <w:numId w:val="2"/>
        </w:numPr>
        <w:spacing w:before="0" w:after="0"/>
        <w:ind w:left="990" w:hanging="990"/>
        <w:rPr>
          <w:szCs w:val="24"/>
        </w:rPr>
      </w:pPr>
      <w:r w:rsidRPr="00AE0294">
        <w:rPr>
          <w:szCs w:val="24"/>
        </w:rPr>
        <w:t>This issue has been allowed by the Hon’ble Commission in Order dated 13.12.2019 passed in Review Petition No. 31 of 2018 and is yet to implemented in letter and spirit.</w:t>
      </w:r>
    </w:p>
    <w:p w:rsidR="009141CD" w:rsidRPr="00AE0294" w:rsidRDefault="009141CD" w:rsidP="009141CD">
      <w:pPr>
        <w:pStyle w:val="ARRB11"/>
        <w:numPr>
          <w:ilvl w:val="1"/>
          <w:numId w:val="2"/>
        </w:numPr>
        <w:tabs>
          <w:tab w:val="clear" w:pos="1440"/>
        </w:tabs>
        <w:ind w:left="993" w:hanging="993"/>
        <w:rPr>
          <w:szCs w:val="24"/>
        </w:rPr>
      </w:pPr>
      <w:r w:rsidRPr="00AE0294">
        <w:rPr>
          <w:szCs w:val="24"/>
        </w:rPr>
        <w:t>As regards the disallowance of power purchase cost on account of Merit Order Despatch during FY 2013-14, the Hon'ble Commission has allowed only 50% of the impact as per Tariff Order dated 28.08.2020 stating as under:</w:t>
      </w:r>
    </w:p>
    <w:p w:rsidR="009141CD" w:rsidRPr="00AE0294" w:rsidRDefault="009141CD" w:rsidP="009141CD">
      <w:pPr>
        <w:pStyle w:val="ARRB11"/>
        <w:numPr>
          <w:ilvl w:val="0"/>
          <w:numId w:val="0"/>
        </w:numPr>
        <w:tabs>
          <w:tab w:val="clear" w:pos="1440"/>
        </w:tabs>
        <w:ind w:left="1418"/>
        <w:rPr>
          <w:i/>
          <w:szCs w:val="24"/>
        </w:rPr>
      </w:pPr>
      <w:r w:rsidRPr="00AE0294">
        <w:rPr>
          <w:i/>
          <w:szCs w:val="24"/>
        </w:rPr>
        <w:t xml:space="preserve">"The Commission has also sought Plant-wise, month-wise and day-wise violations for FY 2012-13 and FY 2013-14 prior to implementation of DISCOM-wise from SLDC is still awaited. Therefore, penalty of Rs. 54.01 Cr. For FY 2013-14 has been provisionally reversed by 50%.”  </w:t>
      </w:r>
    </w:p>
    <w:p w:rsidR="009141CD" w:rsidRPr="00AE0294" w:rsidRDefault="009141CD" w:rsidP="009141CD">
      <w:pPr>
        <w:pStyle w:val="ARRB11"/>
        <w:numPr>
          <w:ilvl w:val="1"/>
          <w:numId w:val="2"/>
        </w:numPr>
        <w:tabs>
          <w:tab w:val="clear" w:pos="1440"/>
        </w:tabs>
        <w:ind w:left="993" w:hanging="993"/>
        <w:rPr>
          <w:szCs w:val="24"/>
        </w:rPr>
      </w:pPr>
      <w:r w:rsidRPr="00AE0294">
        <w:rPr>
          <w:szCs w:val="24"/>
        </w:rPr>
        <w:t xml:space="preserve">However, the Hon’ble Commission issued Notice on 21.09.2022 regarding MOD for FY 2012-13 and FY 2013-14 to the Petitioner which is against its own undertaking in aforesaid Tariff Order to allow the claim of the Petitioner. </w:t>
      </w:r>
    </w:p>
    <w:p w:rsidR="002002A1" w:rsidRPr="00AE0294" w:rsidRDefault="009141CD" w:rsidP="009141CD">
      <w:pPr>
        <w:pStyle w:val="ARRB11"/>
        <w:numPr>
          <w:ilvl w:val="1"/>
          <w:numId w:val="2"/>
        </w:numPr>
        <w:tabs>
          <w:tab w:val="clear" w:pos="1440"/>
        </w:tabs>
        <w:ind w:left="993" w:hanging="993"/>
        <w:rPr>
          <w:szCs w:val="24"/>
        </w:rPr>
      </w:pPr>
      <w:r w:rsidRPr="00AE0294">
        <w:rPr>
          <w:szCs w:val="24"/>
          <w:lang w:val="en-IN"/>
        </w:rPr>
        <w:t>In response to the Notice issued by the Hon’ble Commission, the Petitioner vide letter dated 11.10.2022 and 13.10.2022 has justified that</w:t>
      </w:r>
      <w:r w:rsidR="002002A1" w:rsidRPr="00AE0294">
        <w:rPr>
          <w:szCs w:val="24"/>
          <w:lang w:val="en-IN"/>
        </w:rPr>
        <w:t xml:space="preserve">- </w:t>
      </w:r>
      <w:r w:rsidRPr="00AE0294">
        <w:rPr>
          <w:szCs w:val="24"/>
          <w:lang w:val="en-IN"/>
        </w:rPr>
        <w:t xml:space="preserve">since, Discom-wise scheduling had started only from 21.02.2014 onwards, the data pertaining to FY </w:t>
      </w:r>
      <w:r w:rsidRPr="00AE0294">
        <w:rPr>
          <w:szCs w:val="24"/>
          <w:lang w:val="en-IN"/>
        </w:rPr>
        <w:lastRenderedPageBreak/>
        <w:t xml:space="preserve">2012-13 and FY 2013-14, if any, available from NRLDC / IEX would pertain to Delhi as a whole and would not be relatable to each Discom. Without prejudice, it is stated that no such data as stated to have been received from NRLDC and IEX, has been shared by the Hon'ble Commission with the Petitioner. Therefore, the Petitioner reserves its right to respond to the same as and when the same is shared with the Petitioner. </w:t>
      </w:r>
    </w:p>
    <w:p w:rsidR="009141CD" w:rsidRPr="00AE0294" w:rsidRDefault="009141CD" w:rsidP="009141CD">
      <w:pPr>
        <w:pStyle w:val="ARRB11"/>
        <w:numPr>
          <w:ilvl w:val="1"/>
          <w:numId w:val="2"/>
        </w:numPr>
        <w:tabs>
          <w:tab w:val="clear" w:pos="1440"/>
        </w:tabs>
        <w:ind w:left="993" w:hanging="993"/>
        <w:rPr>
          <w:szCs w:val="24"/>
        </w:rPr>
      </w:pPr>
      <w:r w:rsidRPr="00AE0294">
        <w:rPr>
          <w:szCs w:val="24"/>
          <w:lang w:val="en-IN"/>
        </w:rPr>
        <w:t xml:space="preserve">Thus, the Petitioner requests the Hon’ble Commission to allow the </w:t>
      </w:r>
      <w:r w:rsidRPr="00AE0294">
        <w:rPr>
          <w:szCs w:val="24"/>
        </w:rPr>
        <w:t xml:space="preserve">remaining 50% </w:t>
      </w:r>
      <w:r w:rsidRPr="00AE0294">
        <w:rPr>
          <w:szCs w:val="24"/>
          <w:lang w:val="en-IN"/>
        </w:rPr>
        <w:t xml:space="preserve">impact of MOD for FY 2013-14 by reversing the disallowance as per undertaking given by this Hon'ble Commission to Hon'ble APTEL in Appeal No. 290 </w:t>
      </w:r>
      <w:r w:rsidR="00132D6A" w:rsidRPr="00AE0294">
        <w:rPr>
          <w:szCs w:val="24"/>
          <w:lang w:val="en-IN"/>
        </w:rPr>
        <w:t xml:space="preserve">of 2015, as well its own Order </w:t>
      </w:r>
      <w:r w:rsidRPr="00AE0294">
        <w:rPr>
          <w:szCs w:val="24"/>
          <w:lang w:val="en-IN"/>
        </w:rPr>
        <w:t xml:space="preserve">dated 13.12.2019, along with applicable carrying cost </w:t>
      </w:r>
      <w:r w:rsidRPr="00AE0294">
        <w:rPr>
          <w:szCs w:val="24"/>
        </w:rPr>
        <w:t>as the amount has not been allowed by the Hon’ble Commission for no fault attributable to the Petitioner.</w:t>
      </w:r>
    </w:p>
    <w:p w:rsidR="006A2361" w:rsidRPr="00AE0294" w:rsidRDefault="006A2361" w:rsidP="006A2361">
      <w:pPr>
        <w:pStyle w:val="ARRB11"/>
        <w:numPr>
          <w:ilvl w:val="1"/>
          <w:numId w:val="2"/>
        </w:numPr>
        <w:tabs>
          <w:tab w:val="clear" w:pos="1440"/>
        </w:tabs>
        <w:ind w:left="993" w:hanging="993"/>
        <w:rPr>
          <w:szCs w:val="24"/>
          <w:lang w:val="en-IN" w:bidi="te-IN"/>
        </w:rPr>
      </w:pPr>
      <w:r w:rsidRPr="00AE0294">
        <w:rPr>
          <w:szCs w:val="24"/>
          <w:lang w:val="en-IN" w:bidi="te-IN"/>
        </w:rPr>
        <w:t xml:space="preserve">The </w:t>
      </w:r>
      <w:r w:rsidR="00093E2F" w:rsidRPr="00AE0294">
        <w:rPr>
          <w:szCs w:val="24"/>
          <w:lang w:val="en-IN" w:bidi="te-IN"/>
        </w:rPr>
        <w:t xml:space="preserve">financial </w:t>
      </w:r>
      <w:r w:rsidRPr="00AE0294">
        <w:rPr>
          <w:szCs w:val="24"/>
          <w:lang w:val="en-IN" w:bidi="te-IN"/>
        </w:rPr>
        <w:t>impact of this issue along with carrying cost is tabulated as under:</w:t>
      </w:r>
    </w:p>
    <w:p w:rsidR="008E7065" w:rsidRPr="00AE0294" w:rsidRDefault="008E7065" w:rsidP="008E7065">
      <w:pPr>
        <w:pStyle w:val="Caption"/>
        <w:spacing w:after="0"/>
        <w:ind w:left="644"/>
        <w:jc w:val="center"/>
        <w:rPr>
          <w:rFonts w:cstheme="minorHAnsi"/>
          <w:b/>
          <w:i w:val="0"/>
          <w:color w:val="000000" w:themeColor="text1"/>
          <w:sz w:val="24"/>
          <w:szCs w:val="24"/>
        </w:rPr>
      </w:pPr>
      <w:bookmarkStart w:id="14" w:name="_Toc120734114"/>
      <w:r w:rsidRPr="00AE0294">
        <w:rPr>
          <w:rFonts w:cstheme="minorHAnsi"/>
          <w:b/>
          <w:i w:val="0"/>
          <w:color w:val="000000" w:themeColor="text1"/>
          <w:sz w:val="24"/>
          <w:szCs w:val="24"/>
        </w:rPr>
        <w:t xml:space="preserve">Table 3B </w:t>
      </w:r>
      <w:r w:rsidRPr="00AE0294">
        <w:rPr>
          <w:rFonts w:cstheme="minorHAnsi"/>
          <w:b/>
          <w:i w:val="0"/>
          <w:color w:val="000000" w:themeColor="text1"/>
          <w:sz w:val="24"/>
          <w:szCs w:val="24"/>
        </w:rPr>
        <w:fldChar w:fldCharType="begin"/>
      </w:r>
      <w:r w:rsidRPr="00AE0294">
        <w:rPr>
          <w:rFonts w:cstheme="minorHAnsi"/>
          <w:b/>
          <w:i w:val="0"/>
          <w:color w:val="000000" w:themeColor="text1"/>
          <w:sz w:val="24"/>
          <w:szCs w:val="24"/>
        </w:rPr>
        <w:instrText xml:space="preserve"> SEQ Table_3B \* ARABIC </w:instrText>
      </w:r>
      <w:r w:rsidRPr="00AE0294">
        <w:rPr>
          <w:rFonts w:cstheme="minorHAnsi"/>
          <w:b/>
          <w:i w:val="0"/>
          <w:color w:val="000000" w:themeColor="text1"/>
          <w:sz w:val="24"/>
          <w:szCs w:val="24"/>
        </w:rPr>
        <w:fldChar w:fldCharType="separate"/>
      </w:r>
      <w:r w:rsidR="006D2E03">
        <w:rPr>
          <w:rFonts w:cstheme="minorHAnsi"/>
          <w:b/>
          <w:i w:val="0"/>
          <w:noProof/>
          <w:color w:val="000000" w:themeColor="text1"/>
          <w:sz w:val="24"/>
          <w:szCs w:val="24"/>
        </w:rPr>
        <w:t>6</w:t>
      </w:r>
      <w:r w:rsidRPr="00AE0294">
        <w:rPr>
          <w:rFonts w:cstheme="minorHAnsi"/>
          <w:b/>
          <w:i w:val="0"/>
          <w:color w:val="000000" w:themeColor="text1"/>
          <w:sz w:val="24"/>
          <w:szCs w:val="24"/>
        </w:rPr>
        <w:fldChar w:fldCharType="end"/>
      </w:r>
      <w:r w:rsidRPr="00AE0294">
        <w:rPr>
          <w:rFonts w:cstheme="minorHAnsi"/>
          <w:b/>
          <w:i w:val="0"/>
          <w:color w:val="000000" w:themeColor="text1"/>
          <w:sz w:val="24"/>
          <w:szCs w:val="24"/>
        </w:rPr>
        <w:t xml:space="preserve">: </w:t>
      </w:r>
      <w:r>
        <w:rPr>
          <w:rFonts w:cstheme="minorHAnsi"/>
          <w:b/>
          <w:i w:val="0"/>
          <w:color w:val="000000" w:themeColor="text1"/>
          <w:sz w:val="24"/>
          <w:szCs w:val="24"/>
        </w:rPr>
        <w:t>Financial I</w:t>
      </w:r>
      <w:r w:rsidRPr="00AE0294">
        <w:rPr>
          <w:rFonts w:cstheme="minorHAnsi"/>
          <w:b/>
          <w:i w:val="0"/>
          <w:color w:val="000000" w:themeColor="text1"/>
          <w:sz w:val="24"/>
          <w:szCs w:val="24"/>
        </w:rPr>
        <w:t>mpact</w:t>
      </w:r>
      <w:r>
        <w:rPr>
          <w:rFonts w:cstheme="minorHAnsi"/>
          <w:b/>
          <w:i w:val="0"/>
          <w:color w:val="000000" w:themeColor="text1"/>
          <w:sz w:val="24"/>
          <w:szCs w:val="24"/>
        </w:rPr>
        <w:t xml:space="preserve"> of</w:t>
      </w:r>
      <w:r w:rsidRPr="00AE0294">
        <w:rPr>
          <w:rFonts w:cstheme="minorHAnsi"/>
          <w:b/>
          <w:i w:val="0"/>
          <w:color w:val="000000" w:themeColor="text1"/>
          <w:sz w:val="24"/>
          <w:szCs w:val="24"/>
        </w:rPr>
        <w:t xml:space="preserve"> </w:t>
      </w:r>
      <w:r w:rsidRPr="008E7065">
        <w:rPr>
          <w:rFonts w:cstheme="minorHAnsi"/>
          <w:b/>
          <w:i w:val="0"/>
          <w:color w:val="000000" w:themeColor="text1"/>
          <w:sz w:val="24"/>
          <w:szCs w:val="24"/>
        </w:rPr>
        <w:t xml:space="preserve">Power Purchase cost for FY 2013-14 on account of MOD </w:t>
      </w:r>
      <w:r>
        <w:rPr>
          <w:rFonts w:cstheme="minorHAnsi"/>
          <w:b/>
          <w:i w:val="0"/>
          <w:color w:val="000000" w:themeColor="text1"/>
          <w:sz w:val="24"/>
          <w:szCs w:val="24"/>
        </w:rPr>
        <w:t>along with Carying Cost</w:t>
      </w:r>
      <w:r w:rsidR="004F1C54">
        <w:rPr>
          <w:rFonts w:cstheme="minorHAnsi"/>
          <w:b/>
          <w:i w:val="0"/>
          <w:color w:val="000000" w:themeColor="text1"/>
          <w:sz w:val="24"/>
          <w:szCs w:val="24"/>
        </w:rPr>
        <w:t xml:space="preserve"> </w:t>
      </w:r>
      <w:r w:rsidR="004F1C54" w:rsidRPr="00AE0294">
        <w:rPr>
          <w:rStyle w:val="Heading2Char"/>
          <w:rFonts w:asciiTheme="minorHAnsi" w:eastAsiaTheme="minorHAnsi" w:hAnsiTheme="minorHAnsi" w:cstheme="minorHAnsi"/>
          <w:i w:val="0"/>
          <w:color w:val="000000" w:themeColor="text1"/>
          <w:sz w:val="24"/>
          <w:szCs w:val="24"/>
        </w:rPr>
        <w:t>(₹ Crore)</w:t>
      </w:r>
      <w:bookmarkEnd w:id="14"/>
    </w:p>
    <w:tbl>
      <w:tblPr>
        <w:tblW w:w="8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1278"/>
        <w:gridCol w:w="960"/>
        <w:gridCol w:w="960"/>
        <w:gridCol w:w="960"/>
        <w:gridCol w:w="960"/>
        <w:gridCol w:w="960"/>
        <w:gridCol w:w="960"/>
        <w:gridCol w:w="960"/>
      </w:tblGrid>
      <w:tr w:rsidR="008E7065" w:rsidRPr="008E7065" w:rsidTr="008E7065">
        <w:trPr>
          <w:trHeight w:val="315"/>
        </w:trPr>
        <w:tc>
          <w:tcPr>
            <w:tcW w:w="844" w:type="dxa"/>
            <w:shd w:val="clear" w:color="auto" w:fill="auto"/>
            <w:vAlign w:val="center"/>
            <w:hideMark/>
          </w:tcPr>
          <w:p w:rsidR="008E7065" w:rsidRPr="008E7065" w:rsidRDefault="008E7065" w:rsidP="008E7065">
            <w:pPr>
              <w:spacing w:after="0" w:line="240" w:lineRule="auto"/>
              <w:jc w:val="center"/>
              <w:rPr>
                <w:rFonts w:ascii="Calibri" w:eastAsia="Times New Roman" w:hAnsi="Calibri" w:cs="Calibri"/>
                <w:b/>
                <w:bCs/>
                <w:color w:val="000000"/>
                <w:sz w:val="24"/>
                <w:szCs w:val="24"/>
                <w:lang w:eastAsia="en-IN"/>
              </w:rPr>
            </w:pPr>
            <w:r w:rsidRPr="008E7065">
              <w:rPr>
                <w:rFonts w:ascii="Calibri" w:eastAsia="Times New Roman" w:hAnsi="Calibri" w:cs="Calibri"/>
                <w:b/>
                <w:bCs/>
                <w:color w:val="000000"/>
                <w:sz w:val="24"/>
                <w:szCs w:val="24"/>
                <w:lang w:eastAsia="en-IN"/>
              </w:rPr>
              <w:t>S. No</w:t>
            </w:r>
          </w:p>
        </w:tc>
        <w:tc>
          <w:tcPr>
            <w:tcW w:w="1278" w:type="dxa"/>
            <w:shd w:val="clear" w:color="auto" w:fill="auto"/>
            <w:noWrap/>
            <w:vAlign w:val="bottom"/>
            <w:hideMark/>
          </w:tcPr>
          <w:p w:rsidR="008E7065" w:rsidRPr="008E7065" w:rsidRDefault="008E7065" w:rsidP="008E7065">
            <w:pPr>
              <w:spacing w:after="0" w:line="240" w:lineRule="auto"/>
              <w:jc w:val="center"/>
              <w:rPr>
                <w:rFonts w:ascii="Calibri" w:eastAsia="Times New Roman" w:hAnsi="Calibri" w:cs="Calibri"/>
                <w:b/>
                <w:bCs/>
                <w:color w:val="000000"/>
                <w:sz w:val="24"/>
                <w:szCs w:val="24"/>
                <w:lang w:eastAsia="en-IN"/>
              </w:rPr>
            </w:pPr>
            <w:r w:rsidRPr="008E7065">
              <w:rPr>
                <w:rFonts w:ascii="Calibri" w:eastAsia="Times New Roman" w:hAnsi="Calibri" w:cs="Calibri"/>
                <w:b/>
                <w:bCs/>
                <w:color w:val="000000"/>
                <w:sz w:val="24"/>
                <w:szCs w:val="24"/>
                <w:lang w:eastAsia="en-IN"/>
              </w:rPr>
              <w:t>Particulars</w:t>
            </w:r>
          </w:p>
        </w:tc>
        <w:tc>
          <w:tcPr>
            <w:tcW w:w="960" w:type="dxa"/>
            <w:shd w:val="clear" w:color="auto" w:fill="auto"/>
            <w:noWrap/>
            <w:vAlign w:val="bottom"/>
            <w:hideMark/>
          </w:tcPr>
          <w:p w:rsidR="008E7065" w:rsidRPr="008E7065" w:rsidRDefault="008E7065" w:rsidP="008E7065">
            <w:pPr>
              <w:spacing w:after="0" w:line="240" w:lineRule="auto"/>
              <w:jc w:val="center"/>
              <w:rPr>
                <w:rFonts w:ascii="Calibri" w:eastAsia="Times New Roman" w:hAnsi="Calibri" w:cs="Calibri"/>
                <w:b/>
                <w:bCs/>
                <w:color w:val="000000"/>
                <w:sz w:val="24"/>
                <w:szCs w:val="24"/>
                <w:lang w:eastAsia="en-IN"/>
              </w:rPr>
            </w:pPr>
            <w:r w:rsidRPr="008E7065">
              <w:rPr>
                <w:rFonts w:ascii="Calibri" w:eastAsia="Times New Roman" w:hAnsi="Calibri" w:cs="Calibri"/>
                <w:b/>
                <w:bCs/>
                <w:color w:val="000000"/>
                <w:sz w:val="24"/>
                <w:szCs w:val="24"/>
                <w:lang w:eastAsia="en-IN"/>
              </w:rPr>
              <w:t>FY 08</w:t>
            </w:r>
          </w:p>
        </w:tc>
        <w:tc>
          <w:tcPr>
            <w:tcW w:w="960" w:type="dxa"/>
            <w:shd w:val="clear" w:color="auto" w:fill="auto"/>
            <w:vAlign w:val="bottom"/>
            <w:hideMark/>
          </w:tcPr>
          <w:p w:rsidR="008E7065" w:rsidRPr="008E7065" w:rsidRDefault="008E7065" w:rsidP="008E7065">
            <w:pPr>
              <w:spacing w:after="0" w:line="240" w:lineRule="auto"/>
              <w:jc w:val="center"/>
              <w:rPr>
                <w:rFonts w:ascii="Calibri" w:eastAsia="Times New Roman" w:hAnsi="Calibri" w:cs="Calibri"/>
                <w:b/>
                <w:bCs/>
                <w:color w:val="000000"/>
                <w:sz w:val="24"/>
                <w:szCs w:val="24"/>
                <w:lang w:eastAsia="en-IN"/>
              </w:rPr>
            </w:pPr>
            <w:r w:rsidRPr="008E7065">
              <w:rPr>
                <w:rFonts w:ascii="Calibri" w:eastAsia="Times New Roman" w:hAnsi="Calibri" w:cs="Calibri"/>
                <w:b/>
                <w:bCs/>
                <w:color w:val="000000"/>
                <w:sz w:val="24"/>
                <w:szCs w:val="24"/>
                <w:lang w:eastAsia="en-IN"/>
              </w:rPr>
              <w:t>FY 09</w:t>
            </w:r>
          </w:p>
        </w:tc>
        <w:tc>
          <w:tcPr>
            <w:tcW w:w="960" w:type="dxa"/>
            <w:shd w:val="clear" w:color="auto" w:fill="auto"/>
            <w:noWrap/>
            <w:vAlign w:val="bottom"/>
            <w:hideMark/>
          </w:tcPr>
          <w:p w:rsidR="008E7065" w:rsidRPr="008E7065" w:rsidRDefault="008E7065" w:rsidP="008E7065">
            <w:pPr>
              <w:spacing w:after="0" w:line="240" w:lineRule="auto"/>
              <w:jc w:val="center"/>
              <w:rPr>
                <w:rFonts w:ascii="Calibri" w:eastAsia="Times New Roman" w:hAnsi="Calibri" w:cs="Calibri"/>
                <w:b/>
                <w:bCs/>
                <w:color w:val="000000"/>
                <w:sz w:val="24"/>
                <w:szCs w:val="24"/>
                <w:lang w:eastAsia="en-IN"/>
              </w:rPr>
            </w:pPr>
            <w:r w:rsidRPr="008E7065">
              <w:rPr>
                <w:rFonts w:ascii="Calibri" w:eastAsia="Times New Roman" w:hAnsi="Calibri" w:cs="Calibri"/>
                <w:b/>
                <w:bCs/>
                <w:color w:val="000000"/>
                <w:sz w:val="24"/>
                <w:szCs w:val="24"/>
                <w:lang w:eastAsia="en-IN"/>
              </w:rPr>
              <w:t>FY 10</w:t>
            </w:r>
          </w:p>
        </w:tc>
        <w:tc>
          <w:tcPr>
            <w:tcW w:w="960" w:type="dxa"/>
            <w:shd w:val="clear" w:color="auto" w:fill="auto"/>
            <w:vAlign w:val="bottom"/>
            <w:hideMark/>
          </w:tcPr>
          <w:p w:rsidR="008E7065" w:rsidRPr="008E7065" w:rsidRDefault="008E7065" w:rsidP="008E7065">
            <w:pPr>
              <w:spacing w:after="0" w:line="240" w:lineRule="auto"/>
              <w:jc w:val="center"/>
              <w:rPr>
                <w:rFonts w:ascii="Calibri" w:eastAsia="Times New Roman" w:hAnsi="Calibri" w:cs="Calibri"/>
                <w:b/>
                <w:bCs/>
                <w:color w:val="000000"/>
                <w:sz w:val="24"/>
                <w:szCs w:val="24"/>
                <w:lang w:eastAsia="en-IN"/>
              </w:rPr>
            </w:pPr>
            <w:r w:rsidRPr="008E7065">
              <w:rPr>
                <w:rFonts w:ascii="Calibri" w:eastAsia="Times New Roman" w:hAnsi="Calibri" w:cs="Calibri"/>
                <w:b/>
                <w:bCs/>
                <w:color w:val="000000"/>
                <w:sz w:val="24"/>
                <w:szCs w:val="24"/>
                <w:lang w:eastAsia="en-IN"/>
              </w:rPr>
              <w:t>FY 11</w:t>
            </w:r>
          </w:p>
        </w:tc>
        <w:tc>
          <w:tcPr>
            <w:tcW w:w="960" w:type="dxa"/>
            <w:shd w:val="clear" w:color="auto" w:fill="auto"/>
            <w:noWrap/>
            <w:vAlign w:val="bottom"/>
            <w:hideMark/>
          </w:tcPr>
          <w:p w:rsidR="008E7065" w:rsidRPr="008E7065" w:rsidRDefault="008E7065" w:rsidP="008E7065">
            <w:pPr>
              <w:spacing w:after="0" w:line="240" w:lineRule="auto"/>
              <w:jc w:val="center"/>
              <w:rPr>
                <w:rFonts w:ascii="Calibri" w:eastAsia="Times New Roman" w:hAnsi="Calibri" w:cs="Calibri"/>
                <w:b/>
                <w:bCs/>
                <w:color w:val="000000"/>
                <w:sz w:val="24"/>
                <w:szCs w:val="24"/>
                <w:lang w:eastAsia="en-IN"/>
              </w:rPr>
            </w:pPr>
            <w:r w:rsidRPr="008E7065">
              <w:rPr>
                <w:rFonts w:ascii="Calibri" w:eastAsia="Times New Roman" w:hAnsi="Calibri" w:cs="Calibri"/>
                <w:b/>
                <w:bCs/>
                <w:color w:val="000000"/>
                <w:sz w:val="24"/>
                <w:szCs w:val="24"/>
                <w:lang w:eastAsia="en-IN"/>
              </w:rPr>
              <w:t>FY 12</w:t>
            </w:r>
          </w:p>
        </w:tc>
        <w:tc>
          <w:tcPr>
            <w:tcW w:w="960" w:type="dxa"/>
            <w:shd w:val="clear" w:color="auto" w:fill="auto"/>
            <w:vAlign w:val="bottom"/>
            <w:hideMark/>
          </w:tcPr>
          <w:p w:rsidR="008E7065" w:rsidRPr="008E7065" w:rsidRDefault="008E7065" w:rsidP="008E7065">
            <w:pPr>
              <w:spacing w:after="0" w:line="240" w:lineRule="auto"/>
              <w:jc w:val="center"/>
              <w:rPr>
                <w:rFonts w:ascii="Calibri" w:eastAsia="Times New Roman" w:hAnsi="Calibri" w:cs="Calibri"/>
                <w:b/>
                <w:bCs/>
                <w:color w:val="000000"/>
                <w:sz w:val="24"/>
                <w:szCs w:val="24"/>
                <w:lang w:eastAsia="en-IN"/>
              </w:rPr>
            </w:pPr>
            <w:r w:rsidRPr="008E7065">
              <w:rPr>
                <w:rFonts w:ascii="Calibri" w:eastAsia="Times New Roman" w:hAnsi="Calibri" w:cs="Calibri"/>
                <w:b/>
                <w:bCs/>
                <w:color w:val="000000"/>
                <w:sz w:val="24"/>
                <w:szCs w:val="24"/>
                <w:lang w:eastAsia="en-IN"/>
              </w:rPr>
              <w:t>FY 13</w:t>
            </w:r>
          </w:p>
        </w:tc>
        <w:tc>
          <w:tcPr>
            <w:tcW w:w="960" w:type="dxa"/>
            <w:shd w:val="clear" w:color="auto" w:fill="auto"/>
            <w:vAlign w:val="bottom"/>
            <w:hideMark/>
          </w:tcPr>
          <w:p w:rsidR="008E7065" w:rsidRPr="008E7065" w:rsidRDefault="008E7065" w:rsidP="008E7065">
            <w:pPr>
              <w:spacing w:after="0" w:line="240" w:lineRule="auto"/>
              <w:jc w:val="center"/>
              <w:rPr>
                <w:rFonts w:ascii="Calibri" w:eastAsia="Times New Roman" w:hAnsi="Calibri" w:cs="Calibri"/>
                <w:b/>
                <w:bCs/>
                <w:color w:val="000000"/>
                <w:sz w:val="24"/>
                <w:szCs w:val="24"/>
                <w:lang w:eastAsia="en-IN"/>
              </w:rPr>
            </w:pPr>
            <w:r w:rsidRPr="008E7065">
              <w:rPr>
                <w:rFonts w:ascii="Calibri" w:eastAsia="Times New Roman" w:hAnsi="Calibri" w:cs="Calibri"/>
                <w:b/>
                <w:bCs/>
                <w:color w:val="000000"/>
                <w:sz w:val="24"/>
                <w:szCs w:val="24"/>
                <w:lang w:eastAsia="en-IN"/>
              </w:rPr>
              <w:t>FY 14</w:t>
            </w:r>
          </w:p>
        </w:tc>
      </w:tr>
      <w:tr w:rsidR="008E7065" w:rsidRPr="008E7065" w:rsidTr="008E7065">
        <w:trPr>
          <w:trHeight w:val="315"/>
        </w:trPr>
        <w:tc>
          <w:tcPr>
            <w:tcW w:w="844" w:type="dxa"/>
            <w:shd w:val="clear" w:color="auto" w:fill="auto"/>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1</w:t>
            </w:r>
          </w:p>
        </w:tc>
        <w:tc>
          <w:tcPr>
            <w:tcW w:w="1278" w:type="dxa"/>
            <w:shd w:val="clear" w:color="auto" w:fill="auto"/>
            <w:noWrap/>
            <w:vAlign w:val="bottom"/>
            <w:hideMark/>
          </w:tcPr>
          <w:p w:rsidR="008E7065" w:rsidRPr="008E7065" w:rsidRDefault="008E7065" w:rsidP="008E7065">
            <w:pPr>
              <w:spacing w:after="0" w:line="240" w:lineRule="auto"/>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Opening balance</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0.0</w:t>
            </w:r>
          </w:p>
        </w:tc>
        <w:tc>
          <w:tcPr>
            <w:tcW w:w="960" w:type="dxa"/>
            <w:shd w:val="clear" w:color="auto" w:fill="auto"/>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0.0</w:t>
            </w:r>
          </w:p>
        </w:tc>
        <w:tc>
          <w:tcPr>
            <w:tcW w:w="960" w:type="dxa"/>
            <w:shd w:val="clear" w:color="auto" w:fill="auto"/>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0.0</w:t>
            </w:r>
          </w:p>
        </w:tc>
        <w:tc>
          <w:tcPr>
            <w:tcW w:w="960" w:type="dxa"/>
            <w:shd w:val="clear" w:color="auto" w:fill="auto"/>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0.0</w:t>
            </w:r>
          </w:p>
        </w:tc>
        <w:tc>
          <w:tcPr>
            <w:tcW w:w="960" w:type="dxa"/>
            <w:shd w:val="clear" w:color="auto" w:fill="auto"/>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0.0</w:t>
            </w:r>
          </w:p>
        </w:tc>
        <w:tc>
          <w:tcPr>
            <w:tcW w:w="960" w:type="dxa"/>
            <w:shd w:val="clear" w:color="auto" w:fill="auto"/>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0.0</w:t>
            </w:r>
          </w:p>
        </w:tc>
        <w:tc>
          <w:tcPr>
            <w:tcW w:w="960" w:type="dxa"/>
            <w:shd w:val="clear" w:color="auto" w:fill="auto"/>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0.0</w:t>
            </w:r>
          </w:p>
        </w:tc>
      </w:tr>
      <w:tr w:rsidR="008E7065" w:rsidRPr="008E7065" w:rsidTr="008E7065">
        <w:trPr>
          <w:trHeight w:val="315"/>
        </w:trPr>
        <w:tc>
          <w:tcPr>
            <w:tcW w:w="844" w:type="dxa"/>
            <w:shd w:val="clear" w:color="auto" w:fill="auto"/>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2</w:t>
            </w:r>
          </w:p>
        </w:tc>
        <w:tc>
          <w:tcPr>
            <w:tcW w:w="1278" w:type="dxa"/>
            <w:shd w:val="clear" w:color="auto" w:fill="auto"/>
            <w:noWrap/>
            <w:vAlign w:val="bottom"/>
            <w:hideMark/>
          </w:tcPr>
          <w:p w:rsidR="008E7065" w:rsidRPr="008E7065" w:rsidRDefault="008E7065" w:rsidP="008E7065">
            <w:pPr>
              <w:spacing w:after="0" w:line="240" w:lineRule="auto"/>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Additions</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0.0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0.0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0.0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0.0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0.0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0.0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27.0</w:t>
            </w:r>
          </w:p>
        </w:tc>
      </w:tr>
      <w:tr w:rsidR="008E7065" w:rsidRPr="008E7065" w:rsidTr="008E7065">
        <w:trPr>
          <w:trHeight w:val="315"/>
        </w:trPr>
        <w:tc>
          <w:tcPr>
            <w:tcW w:w="844" w:type="dxa"/>
            <w:shd w:val="clear" w:color="auto" w:fill="auto"/>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3</w:t>
            </w:r>
          </w:p>
        </w:tc>
        <w:tc>
          <w:tcPr>
            <w:tcW w:w="1278" w:type="dxa"/>
            <w:shd w:val="clear" w:color="auto" w:fill="auto"/>
            <w:noWrap/>
            <w:vAlign w:val="bottom"/>
            <w:hideMark/>
          </w:tcPr>
          <w:p w:rsidR="008E7065" w:rsidRPr="008E7065" w:rsidRDefault="008E7065" w:rsidP="008E7065">
            <w:pPr>
              <w:spacing w:after="0" w:line="240" w:lineRule="auto"/>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Closing Balance</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0.0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0.0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0.0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0.0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0.0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0.0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27.0</w:t>
            </w:r>
          </w:p>
        </w:tc>
      </w:tr>
      <w:tr w:rsidR="008E7065" w:rsidRPr="008E7065" w:rsidTr="008E7065">
        <w:trPr>
          <w:trHeight w:val="315"/>
        </w:trPr>
        <w:tc>
          <w:tcPr>
            <w:tcW w:w="844" w:type="dxa"/>
            <w:shd w:val="clear" w:color="auto" w:fill="auto"/>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4</w:t>
            </w:r>
          </w:p>
        </w:tc>
        <w:tc>
          <w:tcPr>
            <w:tcW w:w="1278" w:type="dxa"/>
            <w:shd w:val="clear" w:color="auto" w:fill="auto"/>
            <w:noWrap/>
            <w:vAlign w:val="bottom"/>
            <w:hideMark/>
          </w:tcPr>
          <w:p w:rsidR="008E7065" w:rsidRPr="008E7065" w:rsidRDefault="008E7065" w:rsidP="008E7065">
            <w:pPr>
              <w:spacing w:after="0" w:line="240" w:lineRule="auto"/>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Average</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0.0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0.0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0.0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0.0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0.0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0.0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13.5</w:t>
            </w:r>
          </w:p>
        </w:tc>
      </w:tr>
      <w:tr w:rsidR="008E7065" w:rsidRPr="008E7065" w:rsidTr="008E7065">
        <w:trPr>
          <w:trHeight w:val="315"/>
        </w:trPr>
        <w:tc>
          <w:tcPr>
            <w:tcW w:w="844" w:type="dxa"/>
            <w:shd w:val="clear" w:color="auto" w:fill="auto"/>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5</w:t>
            </w:r>
          </w:p>
        </w:tc>
        <w:tc>
          <w:tcPr>
            <w:tcW w:w="1278" w:type="dxa"/>
            <w:shd w:val="clear" w:color="auto" w:fill="auto"/>
            <w:noWrap/>
            <w:vAlign w:val="bottom"/>
            <w:hideMark/>
          </w:tcPr>
          <w:p w:rsidR="008E7065" w:rsidRPr="008E7065" w:rsidRDefault="008E7065" w:rsidP="008E7065">
            <w:pPr>
              <w:spacing w:after="0" w:line="240" w:lineRule="auto"/>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Rate of Carrying Cost</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13.68%</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13.75%</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13.11%</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13.38%</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14.88%</w:t>
            </w:r>
          </w:p>
        </w:tc>
        <w:tc>
          <w:tcPr>
            <w:tcW w:w="960" w:type="dxa"/>
            <w:shd w:val="clear" w:color="auto" w:fill="auto"/>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15.03%</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15.01%</w:t>
            </w:r>
          </w:p>
        </w:tc>
      </w:tr>
      <w:tr w:rsidR="008E7065" w:rsidRPr="008E7065" w:rsidTr="008E7065">
        <w:trPr>
          <w:trHeight w:val="315"/>
        </w:trPr>
        <w:tc>
          <w:tcPr>
            <w:tcW w:w="844" w:type="dxa"/>
            <w:shd w:val="clear" w:color="auto" w:fill="auto"/>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6</w:t>
            </w:r>
          </w:p>
        </w:tc>
        <w:tc>
          <w:tcPr>
            <w:tcW w:w="1278" w:type="dxa"/>
            <w:shd w:val="clear" w:color="auto" w:fill="auto"/>
            <w:noWrap/>
            <w:vAlign w:val="bottom"/>
            <w:hideMark/>
          </w:tcPr>
          <w:p w:rsidR="008E7065" w:rsidRPr="008E7065" w:rsidRDefault="008E7065" w:rsidP="008E7065">
            <w:pPr>
              <w:spacing w:after="0" w:line="240" w:lineRule="auto"/>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Carrying cost</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0.0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0.0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0.0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0.0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0.0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0.0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2.0</w:t>
            </w:r>
          </w:p>
        </w:tc>
      </w:tr>
      <w:tr w:rsidR="008E7065" w:rsidRPr="008E7065" w:rsidTr="008E7065">
        <w:trPr>
          <w:trHeight w:val="315"/>
        </w:trPr>
        <w:tc>
          <w:tcPr>
            <w:tcW w:w="844" w:type="dxa"/>
            <w:shd w:val="clear" w:color="auto" w:fill="auto"/>
            <w:vAlign w:val="center"/>
            <w:hideMark/>
          </w:tcPr>
          <w:p w:rsidR="008E7065" w:rsidRPr="008E7065" w:rsidRDefault="008E7065" w:rsidP="008E7065">
            <w:pPr>
              <w:spacing w:after="0" w:line="240" w:lineRule="auto"/>
              <w:jc w:val="center"/>
              <w:rPr>
                <w:rFonts w:ascii="Calibri" w:eastAsia="Times New Roman" w:hAnsi="Calibri" w:cs="Calibri"/>
                <w:b/>
                <w:bCs/>
                <w:color w:val="000000"/>
                <w:sz w:val="24"/>
                <w:szCs w:val="24"/>
                <w:lang w:eastAsia="en-IN"/>
              </w:rPr>
            </w:pPr>
            <w:r w:rsidRPr="008E7065">
              <w:rPr>
                <w:rFonts w:ascii="Calibri" w:eastAsia="Times New Roman" w:hAnsi="Calibri" w:cs="Calibri"/>
                <w:b/>
                <w:bCs/>
                <w:color w:val="000000"/>
                <w:sz w:val="24"/>
                <w:szCs w:val="24"/>
                <w:lang w:eastAsia="en-IN"/>
              </w:rPr>
              <w:t>7</w:t>
            </w:r>
          </w:p>
        </w:tc>
        <w:tc>
          <w:tcPr>
            <w:tcW w:w="1278" w:type="dxa"/>
            <w:shd w:val="clear" w:color="auto" w:fill="auto"/>
            <w:noWrap/>
            <w:vAlign w:val="bottom"/>
            <w:hideMark/>
          </w:tcPr>
          <w:p w:rsidR="008E7065" w:rsidRPr="008E7065" w:rsidRDefault="008E7065" w:rsidP="008E7065">
            <w:pPr>
              <w:spacing w:after="0" w:line="240" w:lineRule="auto"/>
              <w:rPr>
                <w:rFonts w:ascii="Calibri" w:eastAsia="Times New Roman" w:hAnsi="Calibri" w:cs="Calibri"/>
                <w:b/>
                <w:bCs/>
                <w:color w:val="000000"/>
                <w:sz w:val="24"/>
                <w:szCs w:val="24"/>
                <w:lang w:eastAsia="en-IN"/>
              </w:rPr>
            </w:pPr>
            <w:r w:rsidRPr="008E7065">
              <w:rPr>
                <w:rFonts w:ascii="Calibri" w:eastAsia="Times New Roman" w:hAnsi="Calibri" w:cs="Calibri"/>
                <w:b/>
                <w:bCs/>
                <w:color w:val="000000"/>
                <w:sz w:val="24"/>
                <w:szCs w:val="24"/>
                <w:lang w:eastAsia="en-IN"/>
              </w:rPr>
              <w:t>Grand Closing Balance</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b/>
                <w:bCs/>
                <w:color w:val="000000"/>
                <w:sz w:val="24"/>
                <w:szCs w:val="24"/>
                <w:lang w:eastAsia="en-IN"/>
              </w:rPr>
            </w:pPr>
            <w:r w:rsidRPr="008E7065">
              <w:rPr>
                <w:rFonts w:ascii="Calibri" w:eastAsia="Times New Roman" w:hAnsi="Calibri" w:cs="Calibri"/>
                <w:b/>
                <w:bCs/>
                <w:color w:val="000000"/>
                <w:sz w:val="24"/>
                <w:szCs w:val="24"/>
                <w:lang w:eastAsia="en-IN"/>
              </w:rPr>
              <w:t>0.0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b/>
                <w:bCs/>
                <w:color w:val="000000"/>
                <w:sz w:val="24"/>
                <w:szCs w:val="24"/>
                <w:lang w:eastAsia="en-IN"/>
              </w:rPr>
            </w:pPr>
            <w:r w:rsidRPr="008E7065">
              <w:rPr>
                <w:rFonts w:ascii="Calibri" w:eastAsia="Times New Roman" w:hAnsi="Calibri" w:cs="Calibri"/>
                <w:b/>
                <w:bCs/>
                <w:color w:val="000000"/>
                <w:sz w:val="24"/>
                <w:szCs w:val="24"/>
                <w:lang w:eastAsia="en-IN"/>
              </w:rPr>
              <w:t>0.0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b/>
                <w:bCs/>
                <w:color w:val="000000"/>
                <w:sz w:val="24"/>
                <w:szCs w:val="24"/>
                <w:lang w:eastAsia="en-IN"/>
              </w:rPr>
            </w:pPr>
            <w:r w:rsidRPr="008E7065">
              <w:rPr>
                <w:rFonts w:ascii="Calibri" w:eastAsia="Times New Roman" w:hAnsi="Calibri" w:cs="Calibri"/>
                <w:b/>
                <w:bCs/>
                <w:color w:val="000000"/>
                <w:sz w:val="24"/>
                <w:szCs w:val="24"/>
                <w:lang w:eastAsia="en-IN"/>
              </w:rPr>
              <w:t>0.0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b/>
                <w:bCs/>
                <w:color w:val="000000"/>
                <w:sz w:val="24"/>
                <w:szCs w:val="24"/>
                <w:lang w:eastAsia="en-IN"/>
              </w:rPr>
            </w:pPr>
            <w:r w:rsidRPr="008E7065">
              <w:rPr>
                <w:rFonts w:ascii="Calibri" w:eastAsia="Times New Roman" w:hAnsi="Calibri" w:cs="Calibri"/>
                <w:b/>
                <w:bCs/>
                <w:color w:val="000000"/>
                <w:sz w:val="24"/>
                <w:szCs w:val="24"/>
                <w:lang w:eastAsia="en-IN"/>
              </w:rPr>
              <w:t>0.0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b/>
                <w:bCs/>
                <w:color w:val="000000"/>
                <w:sz w:val="24"/>
                <w:szCs w:val="24"/>
                <w:lang w:eastAsia="en-IN"/>
              </w:rPr>
            </w:pPr>
            <w:r w:rsidRPr="008E7065">
              <w:rPr>
                <w:rFonts w:ascii="Calibri" w:eastAsia="Times New Roman" w:hAnsi="Calibri" w:cs="Calibri"/>
                <w:b/>
                <w:bCs/>
                <w:color w:val="000000"/>
                <w:sz w:val="24"/>
                <w:szCs w:val="24"/>
                <w:lang w:eastAsia="en-IN"/>
              </w:rPr>
              <w:t>0.0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b/>
                <w:bCs/>
                <w:color w:val="000000"/>
                <w:sz w:val="24"/>
                <w:szCs w:val="24"/>
                <w:lang w:eastAsia="en-IN"/>
              </w:rPr>
            </w:pPr>
            <w:r w:rsidRPr="008E7065">
              <w:rPr>
                <w:rFonts w:ascii="Calibri" w:eastAsia="Times New Roman" w:hAnsi="Calibri" w:cs="Calibri"/>
                <w:b/>
                <w:bCs/>
                <w:color w:val="000000"/>
                <w:sz w:val="24"/>
                <w:szCs w:val="24"/>
                <w:lang w:eastAsia="en-IN"/>
              </w:rPr>
              <w:t>0.0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b/>
                <w:bCs/>
                <w:color w:val="000000"/>
                <w:sz w:val="24"/>
                <w:szCs w:val="24"/>
                <w:lang w:eastAsia="en-IN"/>
              </w:rPr>
            </w:pPr>
            <w:r w:rsidRPr="008E7065">
              <w:rPr>
                <w:rFonts w:ascii="Calibri" w:eastAsia="Times New Roman" w:hAnsi="Calibri" w:cs="Calibri"/>
                <w:b/>
                <w:bCs/>
                <w:color w:val="000000"/>
                <w:sz w:val="24"/>
                <w:szCs w:val="24"/>
                <w:lang w:eastAsia="en-IN"/>
              </w:rPr>
              <w:t>29.0</w:t>
            </w:r>
          </w:p>
        </w:tc>
      </w:tr>
    </w:tbl>
    <w:p w:rsidR="008E7065" w:rsidRDefault="008E7065" w:rsidP="006A2361">
      <w:pPr>
        <w:pStyle w:val="ARRB11"/>
        <w:numPr>
          <w:ilvl w:val="0"/>
          <w:numId w:val="0"/>
        </w:numPr>
        <w:tabs>
          <w:tab w:val="clear" w:pos="1440"/>
        </w:tabs>
        <w:ind w:left="993"/>
        <w:rPr>
          <w:szCs w:val="24"/>
        </w:rPr>
      </w:pPr>
    </w:p>
    <w:tbl>
      <w:tblPr>
        <w:tblW w:w="9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1278"/>
        <w:gridCol w:w="960"/>
        <w:gridCol w:w="960"/>
        <w:gridCol w:w="960"/>
        <w:gridCol w:w="960"/>
        <w:gridCol w:w="960"/>
        <w:gridCol w:w="960"/>
        <w:gridCol w:w="960"/>
        <w:gridCol w:w="960"/>
      </w:tblGrid>
      <w:tr w:rsidR="008E7065" w:rsidRPr="008E7065" w:rsidTr="008E7065">
        <w:trPr>
          <w:trHeight w:val="315"/>
          <w:tblHeader/>
        </w:trPr>
        <w:tc>
          <w:tcPr>
            <w:tcW w:w="960" w:type="dxa"/>
            <w:shd w:val="clear" w:color="auto" w:fill="auto"/>
            <w:vAlign w:val="center"/>
            <w:hideMark/>
          </w:tcPr>
          <w:p w:rsidR="008E7065" w:rsidRPr="008E7065" w:rsidRDefault="008E7065" w:rsidP="008E7065">
            <w:pPr>
              <w:spacing w:after="0" w:line="240" w:lineRule="auto"/>
              <w:jc w:val="center"/>
              <w:rPr>
                <w:rFonts w:ascii="Calibri" w:eastAsia="Times New Roman" w:hAnsi="Calibri" w:cs="Calibri"/>
                <w:b/>
                <w:bCs/>
                <w:color w:val="000000"/>
                <w:sz w:val="24"/>
                <w:szCs w:val="24"/>
                <w:lang w:eastAsia="en-IN"/>
              </w:rPr>
            </w:pPr>
            <w:r w:rsidRPr="008E7065">
              <w:rPr>
                <w:rFonts w:ascii="Calibri" w:eastAsia="Times New Roman" w:hAnsi="Calibri" w:cs="Calibri"/>
                <w:b/>
                <w:bCs/>
                <w:color w:val="000000"/>
                <w:sz w:val="24"/>
                <w:szCs w:val="24"/>
                <w:lang w:eastAsia="en-IN"/>
              </w:rPr>
              <w:t>S. No</w:t>
            </w:r>
          </w:p>
        </w:tc>
        <w:tc>
          <w:tcPr>
            <w:tcW w:w="1162" w:type="dxa"/>
            <w:shd w:val="clear" w:color="auto" w:fill="auto"/>
            <w:noWrap/>
            <w:vAlign w:val="bottom"/>
            <w:hideMark/>
          </w:tcPr>
          <w:p w:rsidR="008E7065" w:rsidRPr="008E7065" w:rsidRDefault="008E7065" w:rsidP="008E7065">
            <w:pPr>
              <w:spacing w:after="0" w:line="240" w:lineRule="auto"/>
              <w:jc w:val="center"/>
              <w:rPr>
                <w:rFonts w:ascii="Calibri" w:eastAsia="Times New Roman" w:hAnsi="Calibri" w:cs="Calibri"/>
                <w:b/>
                <w:bCs/>
                <w:color w:val="000000"/>
                <w:sz w:val="24"/>
                <w:szCs w:val="24"/>
                <w:lang w:eastAsia="en-IN"/>
              </w:rPr>
            </w:pPr>
            <w:r w:rsidRPr="008E7065">
              <w:rPr>
                <w:rFonts w:ascii="Calibri" w:eastAsia="Times New Roman" w:hAnsi="Calibri" w:cs="Calibri"/>
                <w:b/>
                <w:bCs/>
                <w:color w:val="000000"/>
                <w:sz w:val="24"/>
                <w:szCs w:val="24"/>
                <w:lang w:eastAsia="en-IN"/>
              </w:rPr>
              <w:t>Particulars</w:t>
            </w:r>
          </w:p>
        </w:tc>
        <w:tc>
          <w:tcPr>
            <w:tcW w:w="960" w:type="dxa"/>
            <w:shd w:val="clear" w:color="auto" w:fill="auto"/>
            <w:vAlign w:val="bottom"/>
            <w:hideMark/>
          </w:tcPr>
          <w:p w:rsidR="008E7065" w:rsidRPr="008E7065" w:rsidRDefault="008E7065" w:rsidP="008E7065">
            <w:pPr>
              <w:spacing w:after="0" w:line="240" w:lineRule="auto"/>
              <w:jc w:val="center"/>
              <w:rPr>
                <w:rFonts w:ascii="Calibri" w:eastAsia="Times New Roman" w:hAnsi="Calibri" w:cs="Calibri"/>
                <w:b/>
                <w:bCs/>
                <w:color w:val="000000"/>
                <w:sz w:val="24"/>
                <w:szCs w:val="24"/>
                <w:lang w:eastAsia="en-IN"/>
              </w:rPr>
            </w:pPr>
            <w:r w:rsidRPr="008E7065">
              <w:rPr>
                <w:rFonts w:ascii="Calibri" w:eastAsia="Times New Roman" w:hAnsi="Calibri" w:cs="Calibri"/>
                <w:b/>
                <w:bCs/>
                <w:color w:val="000000"/>
                <w:sz w:val="24"/>
                <w:szCs w:val="24"/>
                <w:lang w:eastAsia="en-IN"/>
              </w:rPr>
              <w:t>FY 15</w:t>
            </w:r>
          </w:p>
        </w:tc>
        <w:tc>
          <w:tcPr>
            <w:tcW w:w="960" w:type="dxa"/>
            <w:shd w:val="clear" w:color="auto" w:fill="auto"/>
            <w:vAlign w:val="bottom"/>
            <w:hideMark/>
          </w:tcPr>
          <w:p w:rsidR="008E7065" w:rsidRPr="008E7065" w:rsidRDefault="008E7065" w:rsidP="008E7065">
            <w:pPr>
              <w:spacing w:after="0" w:line="240" w:lineRule="auto"/>
              <w:jc w:val="center"/>
              <w:rPr>
                <w:rFonts w:ascii="Calibri" w:eastAsia="Times New Roman" w:hAnsi="Calibri" w:cs="Calibri"/>
                <w:b/>
                <w:bCs/>
                <w:color w:val="000000"/>
                <w:sz w:val="24"/>
                <w:szCs w:val="24"/>
                <w:lang w:eastAsia="en-IN"/>
              </w:rPr>
            </w:pPr>
            <w:r w:rsidRPr="008E7065">
              <w:rPr>
                <w:rFonts w:ascii="Calibri" w:eastAsia="Times New Roman" w:hAnsi="Calibri" w:cs="Calibri"/>
                <w:b/>
                <w:bCs/>
                <w:color w:val="000000"/>
                <w:sz w:val="24"/>
                <w:szCs w:val="24"/>
                <w:lang w:eastAsia="en-IN"/>
              </w:rPr>
              <w:t>FY 16</w:t>
            </w:r>
          </w:p>
        </w:tc>
        <w:tc>
          <w:tcPr>
            <w:tcW w:w="960" w:type="dxa"/>
            <w:shd w:val="clear" w:color="auto" w:fill="auto"/>
            <w:vAlign w:val="bottom"/>
            <w:hideMark/>
          </w:tcPr>
          <w:p w:rsidR="008E7065" w:rsidRPr="008E7065" w:rsidRDefault="008E7065" w:rsidP="008E7065">
            <w:pPr>
              <w:spacing w:after="0" w:line="240" w:lineRule="auto"/>
              <w:jc w:val="center"/>
              <w:rPr>
                <w:rFonts w:ascii="Calibri" w:eastAsia="Times New Roman" w:hAnsi="Calibri" w:cs="Calibri"/>
                <w:b/>
                <w:bCs/>
                <w:color w:val="000000"/>
                <w:sz w:val="24"/>
                <w:szCs w:val="24"/>
                <w:lang w:eastAsia="en-IN"/>
              </w:rPr>
            </w:pPr>
            <w:r w:rsidRPr="008E7065">
              <w:rPr>
                <w:rFonts w:ascii="Calibri" w:eastAsia="Times New Roman" w:hAnsi="Calibri" w:cs="Calibri"/>
                <w:b/>
                <w:bCs/>
                <w:color w:val="000000"/>
                <w:sz w:val="24"/>
                <w:szCs w:val="24"/>
                <w:lang w:eastAsia="en-IN"/>
              </w:rPr>
              <w:t>FY 17</w:t>
            </w:r>
          </w:p>
        </w:tc>
        <w:tc>
          <w:tcPr>
            <w:tcW w:w="960" w:type="dxa"/>
            <w:shd w:val="clear" w:color="auto" w:fill="auto"/>
            <w:vAlign w:val="bottom"/>
            <w:hideMark/>
          </w:tcPr>
          <w:p w:rsidR="008E7065" w:rsidRPr="008E7065" w:rsidRDefault="008E7065" w:rsidP="008E7065">
            <w:pPr>
              <w:spacing w:after="0" w:line="240" w:lineRule="auto"/>
              <w:jc w:val="center"/>
              <w:rPr>
                <w:rFonts w:ascii="Calibri" w:eastAsia="Times New Roman" w:hAnsi="Calibri" w:cs="Calibri"/>
                <w:b/>
                <w:bCs/>
                <w:color w:val="000000"/>
                <w:sz w:val="24"/>
                <w:szCs w:val="24"/>
                <w:lang w:eastAsia="en-IN"/>
              </w:rPr>
            </w:pPr>
            <w:r w:rsidRPr="008E7065">
              <w:rPr>
                <w:rFonts w:ascii="Calibri" w:eastAsia="Times New Roman" w:hAnsi="Calibri" w:cs="Calibri"/>
                <w:b/>
                <w:bCs/>
                <w:color w:val="000000"/>
                <w:sz w:val="24"/>
                <w:szCs w:val="24"/>
                <w:lang w:eastAsia="en-IN"/>
              </w:rPr>
              <w:t>FY 18</w:t>
            </w:r>
          </w:p>
        </w:tc>
        <w:tc>
          <w:tcPr>
            <w:tcW w:w="960" w:type="dxa"/>
            <w:shd w:val="clear" w:color="auto" w:fill="auto"/>
            <w:vAlign w:val="bottom"/>
            <w:hideMark/>
          </w:tcPr>
          <w:p w:rsidR="008E7065" w:rsidRPr="008E7065" w:rsidRDefault="008E7065" w:rsidP="008E7065">
            <w:pPr>
              <w:spacing w:after="0" w:line="240" w:lineRule="auto"/>
              <w:jc w:val="center"/>
              <w:rPr>
                <w:rFonts w:ascii="Calibri" w:eastAsia="Times New Roman" w:hAnsi="Calibri" w:cs="Calibri"/>
                <w:b/>
                <w:bCs/>
                <w:color w:val="000000"/>
                <w:sz w:val="24"/>
                <w:szCs w:val="24"/>
                <w:lang w:eastAsia="en-IN"/>
              </w:rPr>
            </w:pPr>
            <w:r w:rsidRPr="008E7065">
              <w:rPr>
                <w:rFonts w:ascii="Calibri" w:eastAsia="Times New Roman" w:hAnsi="Calibri" w:cs="Calibri"/>
                <w:b/>
                <w:bCs/>
                <w:color w:val="000000"/>
                <w:sz w:val="24"/>
                <w:szCs w:val="24"/>
                <w:lang w:eastAsia="en-IN"/>
              </w:rPr>
              <w:t>FY 19</w:t>
            </w:r>
          </w:p>
        </w:tc>
        <w:tc>
          <w:tcPr>
            <w:tcW w:w="960" w:type="dxa"/>
            <w:shd w:val="clear" w:color="auto" w:fill="auto"/>
            <w:vAlign w:val="bottom"/>
            <w:hideMark/>
          </w:tcPr>
          <w:p w:rsidR="008E7065" w:rsidRPr="008E7065" w:rsidRDefault="008E7065" w:rsidP="008E7065">
            <w:pPr>
              <w:spacing w:after="0" w:line="240" w:lineRule="auto"/>
              <w:jc w:val="center"/>
              <w:rPr>
                <w:rFonts w:ascii="Calibri" w:eastAsia="Times New Roman" w:hAnsi="Calibri" w:cs="Calibri"/>
                <w:b/>
                <w:bCs/>
                <w:color w:val="000000"/>
                <w:sz w:val="24"/>
                <w:szCs w:val="24"/>
                <w:lang w:eastAsia="en-IN"/>
              </w:rPr>
            </w:pPr>
            <w:r w:rsidRPr="008E7065">
              <w:rPr>
                <w:rFonts w:ascii="Calibri" w:eastAsia="Times New Roman" w:hAnsi="Calibri" w:cs="Calibri"/>
                <w:b/>
                <w:bCs/>
                <w:color w:val="000000"/>
                <w:sz w:val="24"/>
                <w:szCs w:val="24"/>
                <w:lang w:eastAsia="en-IN"/>
              </w:rPr>
              <w:t>FY 20</w:t>
            </w:r>
          </w:p>
        </w:tc>
        <w:tc>
          <w:tcPr>
            <w:tcW w:w="960" w:type="dxa"/>
            <w:shd w:val="clear" w:color="auto" w:fill="auto"/>
            <w:vAlign w:val="bottom"/>
            <w:hideMark/>
          </w:tcPr>
          <w:p w:rsidR="008E7065" w:rsidRPr="008E7065" w:rsidRDefault="008E7065" w:rsidP="008E7065">
            <w:pPr>
              <w:spacing w:after="0" w:line="240" w:lineRule="auto"/>
              <w:jc w:val="center"/>
              <w:rPr>
                <w:rFonts w:ascii="Calibri" w:eastAsia="Times New Roman" w:hAnsi="Calibri" w:cs="Calibri"/>
                <w:b/>
                <w:bCs/>
                <w:color w:val="000000"/>
                <w:sz w:val="24"/>
                <w:szCs w:val="24"/>
                <w:lang w:eastAsia="en-IN"/>
              </w:rPr>
            </w:pPr>
            <w:r w:rsidRPr="008E7065">
              <w:rPr>
                <w:rFonts w:ascii="Calibri" w:eastAsia="Times New Roman" w:hAnsi="Calibri" w:cs="Calibri"/>
                <w:b/>
                <w:bCs/>
                <w:color w:val="000000"/>
                <w:sz w:val="24"/>
                <w:szCs w:val="24"/>
                <w:lang w:eastAsia="en-IN"/>
              </w:rPr>
              <w:t>FY 21</w:t>
            </w:r>
          </w:p>
        </w:tc>
        <w:tc>
          <w:tcPr>
            <w:tcW w:w="960" w:type="dxa"/>
            <w:shd w:val="clear" w:color="auto" w:fill="auto"/>
            <w:vAlign w:val="bottom"/>
            <w:hideMark/>
          </w:tcPr>
          <w:p w:rsidR="008E7065" w:rsidRPr="008E7065" w:rsidRDefault="008E7065" w:rsidP="008E7065">
            <w:pPr>
              <w:spacing w:after="0" w:line="240" w:lineRule="auto"/>
              <w:jc w:val="center"/>
              <w:rPr>
                <w:rFonts w:ascii="Calibri" w:eastAsia="Times New Roman" w:hAnsi="Calibri" w:cs="Calibri"/>
                <w:b/>
                <w:bCs/>
                <w:color w:val="000000"/>
                <w:sz w:val="24"/>
                <w:szCs w:val="24"/>
                <w:lang w:eastAsia="en-IN"/>
              </w:rPr>
            </w:pPr>
            <w:r w:rsidRPr="008E7065">
              <w:rPr>
                <w:rFonts w:ascii="Calibri" w:eastAsia="Times New Roman" w:hAnsi="Calibri" w:cs="Calibri"/>
                <w:b/>
                <w:bCs/>
                <w:color w:val="000000"/>
                <w:sz w:val="24"/>
                <w:szCs w:val="24"/>
                <w:lang w:eastAsia="en-IN"/>
              </w:rPr>
              <w:t>FY 22</w:t>
            </w:r>
          </w:p>
        </w:tc>
      </w:tr>
      <w:tr w:rsidR="008E7065" w:rsidRPr="008E7065" w:rsidTr="008E7065">
        <w:trPr>
          <w:trHeight w:val="315"/>
        </w:trPr>
        <w:tc>
          <w:tcPr>
            <w:tcW w:w="960" w:type="dxa"/>
            <w:shd w:val="clear" w:color="auto" w:fill="auto"/>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1</w:t>
            </w:r>
          </w:p>
        </w:tc>
        <w:tc>
          <w:tcPr>
            <w:tcW w:w="1162" w:type="dxa"/>
            <w:shd w:val="clear" w:color="auto" w:fill="auto"/>
            <w:noWrap/>
            <w:vAlign w:val="bottom"/>
            <w:hideMark/>
          </w:tcPr>
          <w:p w:rsidR="008E7065" w:rsidRPr="008E7065" w:rsidRDefault="008E7065" w:rsidP="008E7065">
            <w:pPr>
              <w:spacing w:after="0" w:line="240" w:lineRule="auto"/>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Opening balance</w:t>
            </w:r>
          </w:p>
        </w:tc>
        <w:tc>
          <w:tcPr>
            <w:tcW w:w="960" w:type="dxa"/>
            <w:shd w:val="clear" w:color="auto" w:fill="auto"/>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29.0</w:t>
            </w:r>
          </w:p>
        </w:tc>
        <w:tc>
          <w:tcPr>
            <w:tcW w:w="960" w:type="dxa"/>
            <w:shd w:val="clear" w:color="auto" w:fill="auto"/>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33.4</w:t>
            </w:r>
          </w:p>
        </w:tc>
        <w:tc>
          <w:tcPr>
            <w:tcW w:w="960" w:type="dxa"/>
            <w:shd w:val="clear" w:color="auto" w:fill="auto"/>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38.4</w:t>
            </w:r>
          </w:p>
        </w:tc>
        <w:tc>
          <w:tcPr>
            <w:tcW w:w="960" w:type="dxa"/>
            <w:shd w:val="clear" w:color="auto" w:fill="auto"/>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44.0</w:t>
            </w:r>
          </w:p>
        </w:tc>
        <w:tc>
          <w:tcPr>
            <w:tcW w:w="960" w:type="dxa"/>
            <w:shd w:val="clear" w:color="auto" w:fill="auto"/>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50.1</w:t>
            </w:r>
          </w:p>
        </w:tc>
        <w:tc>
          <w:tcPr>
            <w:tcW w:w="960" w:type="dxa"/>
            <w:shd w:val="clear" w:color="auto" w:fill="auto"/>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57.2</w:t>
            </w:r>
          </w:p>
        </w:tc>
        <w:tc>
          <w:tcPr>
            <w:tcW w:w="960" w:type="dxa"/>
            <w:shd w:val="clear" w:color="auto" w:fill="auto"/>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65.2</w:t>
            </w:r>
          </w:p>
        </w:tc>
        <w:tc>
          <w:tcPr>
            <w:tcW w:w="960" w:type="dxa"/>
            <w:shd w:val="clear" w:color="auto" w:fill="auto"/>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73.5</w:t>
            </w:r>
          </w:p>
        </w:tc>
      </w:tr>
      <w:tr w:rsidR="008E7065" w:rsidRPr="008E7065" w:rsidTr="008E7065">
        <w:trPr>
          <w:trHeight w:val="315"/>
        </w:trPr>
        <w:tc>
          <w:tcPr>
            <w:tcW w:w="960" w:type="dxa"/>
            <w:shd w:val="clear" w:color="auto" w:fill="auto"/>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2</w:t>
            </w:r>
          </w:p>
        </w:tc>
        <w:tc>
          <w:tcPr>
            <w:tcW w:w="1162" w:type="dxa"/>
            <w:shd w:val="clear" w:color="auto" w:fill="auto"/>
            <w:noWrap/>
            <w:vAlign w:val="bottom"/>
            <w:hideMark/>
          </w:tcPr>
          <w:p w:rsidR="008E7065" w:rsidRPr="008E7065" w:rsidRDefault="008E7065" w:rsidP="008E7065">
            <w:pPr>
              <w:spacing w:after="0" w:line="240" w:lineRule="auto"/>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Additions</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0.0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0.0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0.0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0.0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0.0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0.0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0.0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0.0</w:t>
            </w:r>
          </w:p>
        </w:tc>
      </w:tr>
      <w:tr w:rsidR="008E7065" w:rsidRPr="008E7065" w:rsidTr="008E7065">
        <w:trPr>
          <w:trHeight w:val="315"/>
        </w:trPr>
        <w:tc>
          <w:tcPr>
            <w:tcW w:w="960" w:type="dxa"/>
            <w:shd w:val="clear" w:color="auto" w:fill="auto"/>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3</w:t>
            </w:r>
          </w:p>
        </w:tc>
        <w:tc>
          <w:tcPr>
            <w:tcW w:w="1162" w:type="dxa"/>
            <w:shd w:val="clear" w:color="auto" w:fill="auto"/>
            <w:noWrap/>
            <w:vAlign w:val="bottom"/>
            <w:hideMark/>
          </w:tcPr>
          <w:p w:rsidR="008E7065" w:rsidRPr="008E7065" w:rsidRDefault="008E7065" w:rsidP="008E7065">
            <w:pPr>
              <w:spacing w:after="0" w:line="240" w:lineRule="auto"/>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Closing Balance</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29.0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33.4</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38.4</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44.0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50.1</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57.2</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65.2</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73.5</w:t>
            </w:r>
          </w:p>
        </w:tc>
      </w:tr>
      <w:tr w:rsidR="008E7065" w:rsidRPr="008E7065" w:rsidTr="008E7065">
        <w:trPr>
          <w:trHeight w:val="315"/>
        </w:trPr>
        <w:tc>
          <w:tcPr>
            <w:tcW w:w="960" w:type="dxa"/>
            <w:shd w:val="clear" w:color="auto" w:fill="auto"/>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4</w:t>
            </w:r>
          </w:p>
        </w:tc>
        <w:tc>
          <w:tcPr>
            <w:tcW w:w="1162" w:type="dxa"/>
            <w:shd w:val="clear" w:color="auto" w:fill="auto"/>
            <w:noWrap/>
            <w:vAlign w:val="bottom"/>
            <w:hideMark/>
          </w:tcPr>
          <w:p w:rsidR="008E7065" w:rsidRPr="008E7065" w:rsidRDefault="008E7065" w:rsidP="008E7065">
            <w:pPr>
              <w:spacing w:after="0" w:line="240" w:lineRule="auto"/>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Average</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29.0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33.4</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38.4</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44.0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50.1</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57.2</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65.2</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73.5</w:t>
            </w:r>
          </w:p>
        </w:tc>
      </w:tr>
      <w:tr w:rsidR="008E7065" w:rsidRPr="008E7065" w:rsidTr="008E7065">
        <w:trPr>
          <w:trHeight w:val="315"/>
        </w:trPr>
        <w:tc>
          <w:tcPr>
            <w:tcW w:w="960" w:type="dxa"/>
            <w:shd w:val="clear" w:color="auto" w:fill="auto"/>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5</w:t>
            </w:r>
          </w:p>
        </w:tc>
        <w:tc>
          <w:tcPr>
            <w:tcW w:w="1162" w:type="dxa"/>
            <w:shd w:val="clear" w:color="auto" w:fill="auto"/>
            <w:noWrap/>
            <w:vAlign w:val="bottom"/>
            <w:hideMark/>
          </w:tcPr>
          <w:p w:rsidR="008E7065" w:rsidRPr="008E7065" w:rsidRDefault="008E7065" w:rsidP="008E7065">
            <w:pPr>
              <w:spacing w:after="0" w:line="240" w:lineRule="auto"/>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Rate of Carrying Cost</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15.13%</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14.80%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14.64%</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14.00%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14.00%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14.00%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12.74%</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12.08%</w:t>
            </w:r>
          </w:p>
        </w:tc>
      </w:tr>
      <w:tr w:rsidR="008E7065" w:rsidRPr="008E7065" w:rsidTr="008E7065">
        <w:trPr>
          <w:trHeight w:val="315"/>
        </w:trPr>
        <w:tc>
          <w:tcPr>
            <w:tcW w:w="960" w:type="dxa"/>
            <w:shd w:val="clear" w:color="auto" w:fill="auto"/>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lastRenderedPageBreak/>
              <w:t>6</w:t>
            </w:r>
          </w:p>
        </w:tc>
        <w:tc>
          <w:tcPr>
            <w:tcW w:w="1162" w:type="dxa"/>
            <w:shd w:val="clear" w:color="auto" w:fill="auto"/>
            <w:noWrap/>
            <w:vAlign w:val="bottom"/>
            <w:hideMark/>
          </w:tcPr>
          <w:p w:rsidR="008E7065" w:rsidRPr="008E7065" w:rsidRDefault="008E7065" w:rsidP="008E7065">
            <w:pPr>
              <w:spacing w:after="0" w:line="240" w:lineRule="auto"/>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Carrying cost</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4.4</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4.9</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5.6</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6.2</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7.0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8.0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8.3</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color w:val="000000"/>
                <w:sz w:val="24"/>
                <w:szCs w:val="24"/>
                <w:lang w:eastAsia="en-IN"/>
              </w:rPr>
            </w:pPr>
            <w:r w:rsidRPr="008E7065">
              <w:rPr>
                <w:rFonts w:ascii="Calibri" w:eastAsia="Times New Roman" w:hAnsi="Calibri" w:cs="Calibri"/>
                <w:color w:val="000000"/>
                <w:sz w:val="24"/>
                <w:szCs w:val="24"/>
                <w:lang w:eastAsia="en-IN"/>
              </w:rPr>
              <w:t>8.9</w:t>
            </w:r>
          </w:p>
        </w:tc>
      </w:tr>
      <w:tr w:rsidR="008E7065" w:rsidRPr="008E7065" w:rsidTr="008E7065">
        <w:trPr>
          <w:trHeight w:val="315"/>
        </w:trPr>
        <w:tc>
          <w:tcPr>
            <w:tcW w:w="960" w:type="dxa"/>
            <w:shd w:val="clear" w:color="auto" w:fill="auto"/>
            <w:vAlign w:val="center"/>
            <w:hideMark/>
          </w:tcPr>
          <w:p w:rsidR="008E7065" w:rsidRPr="008E7065" w:rsidRDefault="008E7065" w:rsidP="008E7065">
            <w:pPr>
              <w:spacing w:after="0" w:line="240" w:lineRule="auto"/>
              <w:jc w:val="center"/>
              <w:rPr>
                <w:rFonts w:ascii="Calibri" w:eastAsia="Times New Roman" w:hAnsi="Calibri" w:cs="Calibri"/>
                <w:b/>
                <w:bCs/>
                <w:color w:val="000000"/>
                <w:sz w:val="24"/>
                <w:szCs w:val="24"/>
                <w:lang w:eastAsia="en-IN"/>
              </w:rPr>
            </w:pPr>
            <w:r w:rsidRPr="008E7065">
              <w:rPr>
                <w:rFonts w:ascii="Calibri" w:eastAsia="Times New Roman" w:hAnsi="Calibri" w:cs="Calibri"/>
                <w:b/>
                <w:bCs/>
                <w:color w:val="000000"/>
                <w:sz w:val="24"/>
                <w:szCs w:val="24"/>
                <w:lang w:eastAsia="en-IN"/>
              </w:rPr>
              <w:t>7</w:t>
            </w:r>
          </w:p>
        </w:tc>
        <w:tc>
          <w:tcPr>
            <w:tcW w:w="1162" w:type="dxa"/>
            <w:shd w:val="clear" w:color="auto" w:fill="auto"/>
            <w:noWrap/>
            <w:vAlign w:val="bottom"/>
            <w:hideMark/>
          </w:tcPr>
          <w:p w:rsidR="008E7065" w:rsidRPr="008E7065" w:rsidRDefault="008E7065" w:rsidP="008E7065">
            <w:pPr>
              <w:spacing w:after="0" w:line="240" w:lineRule="auto"/>
              <w:rPr>
                <w:rFonts w:ascii="Calibri" w:eastAsia="Times New Roman" w:hAnsi="Calibri" w:cs="Calibri"/>
                <w:b/>
                <w:bCs/>
                <w:color w:val="000000"/>
                <w:sz w:val="24"/>
                <w:szCs w:val="24"/>
                <w:lang w:eastAsia="en-IN"/>
              </w:rPr>
            </w:pPr>
            <w:r w:rsidRPr="008E7065">
              <w:rPr>
                <w:rFonts w:ascii="Calibri" w:eastAsia="Times New Roman" w:hAnsi="Calibri" w:cs="Calibri"/>
                <w:b/>
                <w:bCs/>
                <w:color w:val="000000"/>
                <w:sz w:val="24"/>
                <w:szCs w:val="24"/>
                <w:lang w:eastAsia="en-IN"/>
              </w:rPr>
              <w:t>Grand Closing Balance</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b/>
                <w:bCs/>
                <w:color w:val="000000"/>
                <w:sz w:val="24"/>
                <w:szCs w:val="24"/>
                <w:lang w:eastAsia="en-IN"/>
              </w:rPr>
            </w:pPr>
            <w:r w:rsidRPr="008E7065">
              <w:rPr>
                <w:rFonts w:ascii="Calibri" w:eastAsia="Times New Roman" w:hAnsi="Calibri" w:cs="Calibri"/>
                <w:b/>
                <w:bCs/>
                <w:color w:val="000000"/>
                <w:sz w:val="24"/>
                <w:szCs w:val="24"/>
                <w:lang w:eastAsia="en-IN"/>
              </w:rPr>
              <w:t>33.4</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b/>
                <w:bCs/>
                <w:color w:val="000000"/>
                <w:sz w:val="24"/>
                <w:szCs w:val="24"/>
                <w:lang w:eastAsia="en-IN"/>
              </w:rPr>
            </w:pPr>
            <w:r w:rsidRPr="008E7065">
              <w:rPr>
                <w:rFonts w:ascii="Calibri" w:eastAsia="Times New Roman" w:hAnsi="Calibri" w:cs="Calibri"/>
                <w:b/>
                <w:bCs/>
                <w:color w:val="000000"/>
                <w:sz w:val="24"/>
                <w:szCs w:val="24"/>
                <w:lang w:eastAsia="en-IN"/>
              </w:rPr>
              <w:t>38.4</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b/>
                <w:bCs/>
                <w:color w:val="000000"/>
                <w:sz w:val="24"/>
                <w:szCs w:val="24"/>
                <w:lang w:eastAsia="en-IN"/>
              </w:rPr>
            </w:pPr>
            <w:r w:rsidRPr="008E7065">
              <w:rPr>
                <w:rFonts w:ascii="Calibri" w:eastAsia="Times New Roman" w:hAnsi="Calibri" w:cs="Calibri"/>
                <w:b/>
                <w:bCs/>
                <w:color w:val="000000"/>
                <w:sz w:val="24"/>
                <w:szCs w:val="24"/>
                <w:lang w:eastAsia="en-IN"/>
              </w:rPr>
              <w:t>44.0</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b/>
                <w:bCs/>
                <w:color w:val="000000"/>
                <w:sz w:val="24"/>
                <w:szCs w:val="24"/>
                <w:lang w:eastAsia="en-IN"/>
              </w:rPr>
            </w:pPr>
            <w:r w:rsidRPr="008E7065">
              <w:rPr>
                <w:rFonts w:ascii="Calibri" w:eastAsia="Times New Roman" w:hAnsi="Calibri" w:cs="Calibri"/>
                <w:b/>
                <w:bCs/>
                <w:color w:val="000000"/>
                <w:sz w:val="24"/>
                <w:szCs w:val="24"/>
                <w:lang w:eastAsia="en-IN"/>
              </w:rPr>
              <w:t>50.1</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b/>
                <w:bCs/>
                <w:color w:val="000000"/>
                <w:sz w:val="24"/>
                <w:szCs w:val="24"/>
                <w:lang w:eastAsia="en-IN"/>
              </w:rPr>
            </w:pPr>
            <w:r w:rsidRPr="008E7065">
              <w:rPr>
                <w:rFonts w:ascii="Calibri" w:eastAsia="Times New Roman" w:hAnsi="Calibri" w:cs="Calibri"/>
                <w:b/>
                <w:bCs/>
                <w:color w:val="000000"/>
                <w:sz w:val="24"/>
                <w:szCs w:val="24"/>
                <w:lang w:eastAsia="en-IN"/>
              </w:rPr>
              <w:t>57.2</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b/>
                <w:bCs/>
                <w:color w:val="000000"/>
                <w:sz w:val="24"/>
                <w:szCs w:val="24"/>
                <w:lang w:eastAsia="en-IN"/>
              </w:rPr>
            </w:pPr>
            <w:r w:rsidRPr="008E7065">
              <w:rPr>
                <w:rFonts w:ascii="Calibri" w:eastAsia="Times New Roman" w:hAnsi="Calibri" w:cs="Calibri"/>
                <w:b/>
                <w:bCs/>
                <w:color w:val="000000"/>
                <w:sz w:val="24"/>
                <w:szCs w:val="24"/>
                <w:lang w:eastAsia="en-IN"/>
              </w:rPr>
              <w:t>65.2</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b/>
                <w:bCs/>
                <w:color w:val="000000"/>
                <w:sz w:val="24"/>
                <w:szCs w:val="24"/>
                <w:lang w:eastAsia="en-IN"/>
              </w:rPr>
            </w:pPr>
            <w:r w:rsidRPr="008E7065">
              <w:rPr>
                <w:rFonts w:ascii="Calibri" w:eastAsia="Times New Roman" w:hAnsi="Calibri" w:cs="Calibri"/>
                <w:b/>
                <w:bCs/>
                <w:color w:val="000000"/>
                <w:sz w:val="24"/>
                <w:szCs w:val="24"/>
                <w:lang w:eastAsia="en-IN"/>
              </w:rPr>
              <w:t>73.5</w:t>
            </w:r>
          </w:p>
        </w:tc>
        <w:tc>
          <w:tcPr>
            <w:tcW w:w="960" w:type="dxa"/>
            <w:shd w:val="clear" w:color="auto" w:fill="auto"/>
            <w:noWrap/>
            <w:vAlign w:val="center"/>
            <w:hideMark/>
          </w:tcPr>
          <w:p w:rsidR="008E7065" w:rsidRPr="008E7065" w:rsidRDefault="008E7065" w:rsidP="008E7065">
            <w:pPr>
              <w:spacing w:after="0" w:line="240" w:lineRule="auto"/>
              <w:jc w:val="center"/>
              <w:rPr>
                <w:rFonts w:ascii="Calibri" w:eastAsia="Times New Roman" w:hAnsi="Calibri" w:cs="Calibri"/>
                <w:b/>
                <w:bCs/>
                <w:color w:val="000000"/>
                <w:sz w:val="24"/>
                <w:szCs w:val="24"/>
                <w:lang w:eastAsia="en-IN"/>
              </w:rPr>
            </w:pPr>
            <w:r w:rsidRPr="008E7065">
              <w:rPr>
                <w:rFonts w:ascii="Calibri" w:eastAsia="Times New Roman" w:hAnsi="Calibri" w:cs="Calibri"/>
                <w:b/>
                <w:bCs/>
                <w:color w:val="000000"/>
                <w:sz w:val="24"/>
                <w:szCs w:val="24"/>
                <w:lang w:eastAsia="en-IN"/>
              </w:rPr>
              <w:t>82.3</w:t>
            </w:r>
          </w:p>
        </w:tc>
      </w:tr>
    </w:tbl>
    <w:p w:rsidR="008E7065" w:rsidRPr="00AE0294" w:rsidRDefault="008E7065" w:rsidP="006A2361">
      <w:pPr>
        <w:pStyle w:val="ARRB11"/>
        <w:numPr>
          <w:ilvl w:val="0"/>
          <w:numId w:val="0"/>
        </w:numPr>
        <w:tabs>
          <w:tab w:val="clear" w:pos="1440"/>
        </w:tabs>
        <w:ind w:left="993"/>
        <w:rPr>
          <w:szCs w:val="24"/>
        </w:rPr>
      </w:pPr>
    </w:p>
    <w:p w:rsidR="009141CD" w:rsidRPr="00AE0294" w:rsidRDefault="009141CD" w:rsidP="009141CD">
      <w:pPr>
        <w:pStyle w:val="Heading2"/>
        <w:spacing w:before="120"/>
        <w:rPr>
          <w:rFonts w:asciiTheme="minorHAnsi" w:hAnsiTheme="minorHAnsi" w:cstheme="minorHAnsi"/>
          <w:sz w:val="24"/>
          <w:szCs w:val="24"/>
        </w:rPr>
      </w:pPr>
      <w:r w:rsidRPr="00AE0294">
        <w:rPr>
          <w:rFonts w:asciiTheme="minorHAnsi" w:hAnsiTheme="minorHAnsi" w:cstheme="minorHAnsi"/>
          <w:sz w:val="24"/>
          <w:szCs w:val="24"/>
        </w:rPr>
        <w:t xml:space="preserve">Issue - </w:t>
      </w:r>
      <w:r w:rsidR="007A3406" w:rsidRPr="00AE0294">
        <w:rPr>
          <w:rFonts w:asciiTheme="minorHAnsi" w:hAnsiTheme="minorHAnsi" w:cstheme="minorHAnsi"/>
          <w:sz w:val="24"/>
          <w:szCs w:val="24"/>
        </w:rPr>
        <w:t>2</w:t>
      </w:r>
      <w:r w:rsidRPr="00AE0294">
        <w:rPr>
          <w:rFonts w:asciiTheme="minorHAnsi" w:hAnsiTheme="minorHAnsi" w:cstheme="minorHAnsi"/>
          <w:sz w:val="24"/>
          <w:szCs w:val="24"/>
        </w:rPr>
        <w:t>.3: Loss on Sale due to Retirement of Assets</w:t>
      </w:r>
      <w:r w:rsidR="00093E2F" w:rsidRPr="00AE0294">
        <w:rPr>
          <w:rFonts w:asciiTheme="minorHAnsi" w:hAnsiTheme="minorHAnsi" w:cstheme="minorHAnsi"/>
          <w:sz w:val="24"/>
          <w:szCs w:val="24"/>
        </w:rPr>
        <w:t xml:space="preserve"> for period upto FY 2019-20</w:t>
      </w:r>
    </w:p>
    <w:p w:rsidR="00AC7BBF" w:rsidRPr="00AE0294" w:rsidRDefault="00AC7BBF" w:rsidP="00AC7BBF">
      <w:pPr>
        <w:pStyle w:val="ARRB11"/>
        <w:numPr>
          <w:ilvl w:val="1"/>
          <w:numId w:val="2"/>
        </w:numPr>
        <w:spacing w:before="0" w:after="0"/>
        <w:ind w:left="990" w:hanging="990"/>
        <w:rPr>
          <w:szCs w:val="24"/>
        </w:rPr>
      </w:pPr>
      <w:bookmarkStart w:id="15" w:name="_Toc499821303"/>
      <w:r w:rsidRPr="00AE0294">
        <w:rPr>
          <w:szCs w:val="24"/>
        </w:rPr>
        <w:t>This issue has been allowed by the Hon’ble Commission in Order dated 28.05.2018 passed in Petition No. 35 of 2013 and is yet to implemented in letter and spirit.</w:t>
      </w:r>
    </w:p>
    <w:p w:rsidR="009141CD" w:rsidRPr="00AE0294" w:rsidRDefault="009141CD" w:rsidP="009141CD">
      <w:pPr>
        <w:pStyle w:val="ARRB11"/>
        <w:numPr>
          <w:ilvl w:val="1"/>
          <w:numId w:val="2"/>
        </w:numPr>
        <w:tabs>
          <w:tab w:val="clear" w:pos="1440"/>
        </w:tabs>
        <w:ind w:left="993" w:hanging="993"/>
        <w:rPr>
          <w:szCs w:val="24"/>
          <w:lang w:val="en-IN" w:bidi="te-IN"/>
        </w:rPr>
      </w:pPr>
      <w:r w:rsidRPr="00AE0294">
        <w:rPr>
          <w:szCs w:val="24"/>
          <w:lang w:val="en-IN"/>
        </w:rPr>
        <w:t>The</w:t>
      </w:r>
      <w:r w:rsidRPr="00AE0294">
        <w:rPr>
          <w:szCs w:val="24"/>
          <w:lang w:val="en-IN" w:bidi="te-IN"/>
        </w:rPr>
        <w:t xml:space="preserve"> Petitioner in 2013 had filed a Petition (No. 35 of 2013) with the prayer to treat the loss on retirement of assets as per the Petitioners books of accounts and allow the same as a pass-through in the ARR of the Petitioner along with applicable carrying cost. </w:t>
      </w:r>
    </w:p>
    <w:p w:rsidR="009141CD" w:rsidRPr="00AE0294" w:rsidRDefault="009141CD" w:rsidP="009141CD">
      <w:pPr>
        <w:pStyle w:val="ARRB11"/>
        <w:numPr>
          <w:ilvl w:val="1"/>
          <w:numId w:val="2"/>
        </w:numPr>
        <w:tabs>
          <w:tab w:val="clear" w:pos="1440"/>
        </w:tabs>
        <w:ind w:left="993" w:hanging="993"/>
        <w:rPr>
          <w:szCs w:val="24"/>
          <w:lang w:val="en-IN" w:bidi="te-IN"/>
        </w:rPr>
      </w:pPr>
      <w:r w:rsidRPr="00AE0294">
        <w:rPr>
          <w:szCs w:val="24"/>
          <w:lang w:val="en-IN"/>
        </w:rPr>
        <w:t>Pending</w:t>
      </w:r>
      <w:r w:rsidRPr="00AE0294">
        <w:rPr>
          <w:szCs w:val="24"/>
          <w:lang w:val="en-IN" w:bidi="te-IN"/>
        </w:rPr>
        <w:t xml:space="preserve"> adjudication of the Petition, the Hon’ble Commission in Tariff Order dated September 29, 2015, instead of allowing the loss incurred on retirement of assets, decided to reduce all capex associated costs on account of retirement of assets (which was neither subject matter of the Petition nor the methodology for loss on retirement of assets as per the Tariff Order dated July 7, 2005) based on the methodology specified in letter dated November 26, 2014. </w:t>
      </w:r>
    </w:p>
    <w:p w:rsidR="009141CD" w:rsidRPr="00AE0294" w:rsidRDefault="009141CD" w:rsidP="009141CD">
      <w:pPr>
        <w:pStyle w:val="ARRB11"/>
        <w:numPr>
          <w:ilvl w:val="1"/>
          <w:numId w:val="2"/>
        </w:numPr>
        <w:tabs>
          <w:tab w:val="clear" w:pos="1440"/>
        </w:tabs>
        <w:ind w:left="993" w:hanging="993"/>
        <w:rPr>
          <w:szCs w:val="24"/>
          <w:lang w:val="en-IN" w:bidi="te-IN"/>
        </w:rPr>
      </w:pPr>
      <w:r w:rsidRPr="00AE0294">
        <w:rPr>
          <w:szCs w:val="24"/>
          <w:lang w:val="en-IN"/>
        </w:rPr>
        <w:t>The</w:t>
      </w:r>
      <w:r w:rsidRPr="00AE0294">
        <w:rPr>
          <w:szCs w:val="24"/>
          <w:lang w:val="en-IN" w:bidi="te-IN"/>
        </w:rPr>
        <w:t xml:space="preserve"> Hon’ble Commission disposed of the Petition vide Order dated May 28, 2018 and stated as under:</w:t>
      </w:r>
    </w:p>
    <w:p w:rsidR="009141CD" w:rsidRPr="00AE0294" w:rsidRDefault="009141CD" w:rsidP="00963F80">
      <w:pPr>
        <w:widowControl w:val="0"/>
        <w:adjustRightInd w:val="0"/>
        <w:spacing w:line="276" w:lineRule="auto"/>
        <w:ind w:left="1440"/>
        <w:contextualSpacing/>
        <w:jc w:val="both"/>
        <w:textAlignment w:val="baseline"/>
        <w:rPr>
          <w:rFonts w:cstheme="minorHAnsi"/>
          <w:i/>
          <w:sz w:val="24"/>
          <w:szCs w:val="24"/>
          <w:lang w:bidi="te-IN"/>
        </w:rPr>
      </w:pPr>
      <w:r w:rsidRPr="00AE0294">
        <w:rPr>
          <w:rFonts w:cstheme="minorHAnsi"/>
          <w:i/>
          <w:sz w:val="24"/>
          <w:szCs w:val="24"/>
          <w:lang w:bidi="te-IN"/>
        </w:rPr>
        <w:t xml:space="preserve">“3. </w:t>
      </w:r>
      <w:r w:rsidRPr="00AE0294">
        <w:rPr>
          <w:rFonts w:cstheme="minorHAnsi"/>
          <w:i/>
          <w:sz w:val="24"/>
          <w:szCs w:val="24"/>
        </w:rPr>
        <w:t>The counsel for the petitioners submitted that the written submissions have been filed, wherein it is stated that as per the terms of law settled by the Supreme Court and the APTEL, Regulations framed under the Electricity Act cannot be given retrospective application, however, in order to put quietus to the discussion, the petitioner is willing to have the aforesaid claim considered on the principles contained in Regulation 45 of the DERC (Terms and Conditions for Determination of tariff) Regulations, 2017, without prejudice to the general principle and retrospective operation and only as a special case.</w:t>
      </w:r>
    </w:p>
    <w:p w:rsidR="009141CD" w:rsidRPr="00AE0294" w:rsidRDefault="009141CD" w:rsidP="00963F80">
      <w:pPr>
        <w:widowControl w:val="0"/>
        <w:adjustRightInd w:val="0"/>
        <w:spacing w:line="276" w:lineRule="auto"/>
        <w:ind w:left="1440"/>
        <w:contextualSpacing/>
        <w:jc w:val="both"/>
        <w:textAlignment w:val="baseline"/>
        <w:rPr>
          <w:rFonts w:cstheme="minorHAnsi"/>
          <w:i/>
          <w:sz w:val="24"/>
          <w:szCs w:val="24"/>
          <w:lang w:bidi="te-IN"/>
        </w:rPr>
      </w:pPr>
      <w:r w:rsidRPr="00AE0294">
        <w:rPr>
          <w:rFonts w:cstheme="minorHAnsi"/>
          <w:i/>
          <w:sz w:val="24"/>
          <w:szCs w:val="24"/>
          <w:lang w:bidi="te-IN"/>
        </w:rPr>
        <w:t>4. In view of the submissions made by the petitioners the petitions are disposed of with the direction to the petitioners to file their claim regarding retirement of assets along with the relevant data to the Engineering division within four weeks, which shall be processed as per the methodology provided in the DERC (Terms and Conditions of Determination of Tariff) Regulations, 2017.”</w:t>
      </w:r>
    </w:p>
    <w:p w:rsidR="009141CD" w:rsidRPr="00AE0294" w:rsidRDefault="009141CD" w:rsidP="009141CD">
      <w:pPr>
        <w:pStyle w:val="ARRB11"/>
        <w:numPr>
          <w:ilvl w:val="1"/>
          <w:numId w:val="2"/>
        </w:numPr>
        <w:tabs>
          <w:tab w:val="clear" w:pos="1440"/>
        </w:tabs>
        <w:ind w:left="993" w:hanging="993"/>
        <w:rPr>
          <w:szCs w:val="24"/>
          <w:lang w:val="en-IN" w:bidi="te-IN"/>
        </w:rPr>
      </w:pPr>
      <w:r w:rsidRPr="00AE0294">
        <w:rPr>
          <w:szCs w:val="24"/>
          <w:lang w:val="en-IN"/>
        </w:rPr>
        <w:t>In view of the above direction of the Hon’ble Commission</w:t>
      </w:r>
      <w:r w:rsidRPr="00AE0294">
        <w:rPr>
          <w:szCs w:val="24"/>
          <w:lang w:val="en-IN" w:bidi="te-IN"/>
        </w:rPr>
        <w:t xml:space="preserve">, the Petitioner vide its letter dated 24.08.2018 submitted the requisite information and its claim for kind </w:t>
      </w:r>
      <w:r w:rsidRPr="00AE0294">
        <w:rPr>
          <w:szCs w:val="24"/>
          <w:lang w:val="en-IN" w:bidi="te-IN"/>
        </w:rPr>
        <w:lastRenderedPageBreak/>
        <w:t>consideration of the Hon’ble Commission</w:t>
      </w:r>
      <w:bookmarkEnd w:id="15"/>
      <w:r w:rsidRPr="00AE0294">
        <w:rPr>
          <w:szCs w:val="24"/>
          <w:lang w:val="en-IN" w:bidi="te-IN"/>
        </w:rPr>
        <w:t xml:space="preserve">. Further, as per Regulation 45, 46 and 47 of the Tariff Regulations, 2017, the Petitioner can claim the loss on sale of retired assets. The relevant extracts is reproduced below: </w:t>
      </w:r>
    </w:p>
    <w:p w:rsidR="009141CD" w:rsidRPr="00AE0294" w:rsidRDefault="009141CD" w:rsidP="009141CD">
      <w:pPr>
        <w:pStyle w:val="ARRB11"/>
        <w:numPr>
          <w:ilvl w:val="0"/>
          <w:numId w:val="0"/>
        </w:numPr>
        <w:ind w:left="1701"/>
        <w:rPr>
          <w:i/>
          <w:szCs w:val="24"/>
          <w:lang w:val="en-IN" w:bidi="te-IN"/>
        </w:rPr>
      </w:pPr>
      <w:r w:rsidRPr="00AE0294">
        <w:rPr>
          <w:i/>
          <w:szCs w:val="24"/>
          <w:lang w:val="en-IN" w:bidi="te-IN"/>
        </w:rPr>
        <w:t>“45. Loss or Gain due to de-capitalisation of asset based on the directions of the Commission due to technological obsolescence, wear &amp; tear etc. or due to change in law or force majeure, which cannot be re-used, shall be adjusted in the ARR of the Utility in the relevant year.</w:t>
      </w:r>
    </w:p>
    <w:p w:rsidR="009141CD" w:rsidRPr="00AE0294" w:rsidRDefault="009141CD" w:rsidP="009141CD">
      <w:pPr>
        <w:pStyle w:val="ARRB11"/>
        <w:numPr>
          <w:ilvl w:val="0"/>
          <w:numId w:val="0"/>
        </w:numPr>
        <w:ind w:left="1701"/>
        <w:rPr>
          <w:i/>
          <w:szCs w:val="24"/>
          <w:lang w:val="en-IN" w:bidi="te-IN"/>
        </w:rPr>
      </w:pPr>
      <w:r w:rsidRPr="00AE0294">
        <w:rPr>
          <w:i/>
          <w:szCs w:val="24"/>
          <w:lang w:val="en-IN" w:bidi="te-IN"/>
        </w:rPr>
        <w:t>46. Loss or Gain due to de-capitalisation of asset proposed by the Utility itself for the reasons not covered under Regulation 45 of these Regulations shall be to the account of the Utility.</w:t>
      </w:r>
    </w:p>
    <w:p w:rsidR="009141CD" w:rsidRPr="00AE0294" w:rsidRDefault="009141CD" w:rsidP="009141CD">
      <w:pPr>
        <w:pStyle w:val="ARRB11"/>
        <w:numPr>
          <w:ilvl w:val="0"/>
          <w:numId w:val="0"/>
        </w:numPr>
        <w:ind w:left="1701"/>
        <w:rPr>
          <w:i/>
          <w:szCs w:val="24"/>
          <w:lang w:val="en-IN" w:bidi="te-IN"/>
        </w:rPr>
      </w:pPr>
      <w:r w:rsidRPr="00AE0294">
        <w:rPr>
          <w:i/>
          <w:szCs w:val="24"/>
          <w:lang w:val="en-IN" w:bidi="te-IN"/>
        </w:rPr>
        <w:t>47. Loss or Gain due to de-capitalisation of asset after the completion of useful life of asset shall be to the account of the Utility.”</w:t>
      </w:r>
    </w:p>
    <w:p w:rsidR="006A2361" w:rsidRPr="00AE0294" w:rsidRDefault="006A2361" w:rsidP="006A2361">
      <w:pPr>
        <w:pStyle w:val="ARRB11"/>
        <w:numPr>
          <w:ilvl w:val="1"/>
          <w:numId w:val="2"/>
        </w:numPr>
        <w:tabs>
          <w:tab w:val="clear" w:pos="1440"/>
        </w:tabs>
        <w:ind w:left="993" w:hanging="993"/>
        <w:rPr>
          <w:szCs w:val="24"/>
          <w:lang w:val="en-IN" w:bidi="te-IN"/>
        </w:rPr>
      </w:pPr>
      <w:r w:rsidRPr="00AE0294">
        <w:rPr>
          <w:szCs w:val="24"/>
          <w:lang w:val="en-IN" w:bidi="te-IN"/>
        </w:rPr>
        <w:t>The</w:t>
      </w:r>
      <w:r w:rsidR="001512A0" w:rsidRPr="00AE0294">
        <w:rPr>
          <w:szCs w:val="24"/>
          <w:lang w:val="en-IN" w:bidi="te-IN"/>
        </w:rPr>
        <w:t xml:space="preserve"> financial</w:t>
      </w:r>
      <w:r w:rsidRPr="00AE0294">
        <w:rPr>
          <w:szCs w:val="24"/>
          <w:lang w:val="en-IN" w:bidi="te-IN"/>
        </w:rPr>
        <w:t xml:space="preserve"> impact of this issue along with carrying cost is tabulated as under:</w:t>
      </w:r>
    </w:p>
    <w:p w:rsidR="00F72460" w:rsidRPr="00AE0294" w:rsidRDefault="00F72460" w:rsidP="00F72460">
      <w:pPr>
        <w:pStyle w:val="Caption"/>
        <w:jc w:val="center"/>
        <w:rPr>
          <w:rFonts w:cstheme="minorHAnsi"/>
          <w:b/>
          <w:i w:val="0"/>
          <w:color w:val="000000" w:themeColor="text1"/>
          <w:sz w:val="24"/>
          <w:szCs w:val="24"/>
          <w:lang w:bidi="te-IN"/>
        </w:rPr>
      </w:pPr>
      <w:bookmarkStart w:id="16" w:name="_Toc120734115"/>
      <w:r w:rsidRPr="00AE0294">
        <w:rPr>
          <w:rFonts w:cstheme="minorHAnsi"/>
          <w:b/>
          <w:i w:val="0"/>
          <w:color w:val="000000" w:themeColor="text1"/>
          <w:sz w:val="24"/>
          <w:szCs w:val="24"/>
        </w:rPr>
        <w:t xml:space="preserve">Table 3B </w:t>
      </w:r>
      <w:r w:rsidRPr="00AE0294">
        <w:rPr>
          <w:rFonts w:cstheme="minorHAnsi"/>
          <w:b/>
          <w:i w:val="0"/>
          <w:color w:val="000000" w:themeColor="text1"/>
          <w:sz w:val="24"/>
          <w:szCs w:val="24"/>
        </w:rPr>
        <w:fldChar w:fldCharType="begin"/>
      </w:r>
      <w:r w:rsidRPr="00AE0294">
        <w:rPr>
          <w:rFonts w:cstheme="minorHAnsi"/>
          <w:b/>
          <w:i w:val="0"/>
          <w:color w:val="000000" w:themeColor="text1"/>
          <w:sz w:val="24"/>
          <w:szCs w:val="24"/>
        </w:rPr>
        <w:instrText xml:space="preserve"> SEQ Table_3B \* ARABIC </w:instrText>
      </w:r>
      <w:r w:rsidRPr="00AE0294">
        <w:rPr>
          <w:rFonts w:cstheme="minorHAnsi"/>
          <w:b/>
          <w:i w:val="0"/>
          <w:color w:val="000000" w:themeColor="text1"/>
          <w:sz w:val="24"/>
          <w:szCs w:val="24"/>
        </w:rPr>
        <w:fldChar w:fldCharType="separate"/>
      </w:r>
      <w:r w:rsidR="006D2E03">
        <w:rPr>
          <w:rFonts w:cstheme="minorHAnsi"/>
          <w:b/>
          <w:i w:val="0"/>
          <w:noProof/>
          <w:color w:val="000000" w:themeColor="text1"/>
          <w:sz w:val="24"/>
          <w:szCs w:val="24"/>
        </w:rPr>
        <w:t>7</w:t>
      </w:r>
      <w:r w:rsidRPr="00AE0294">
        <w:rPr>
          <w:rFonts w:cstheme="minorHAnsi"/>
          <w:b/>
          <w:i w:val="0"/>
          <w:color w:val="000000" w:themeColor="text1"/>
          <w:sz w:val="24"/>
          <w:szCs w:val="24"/>
        </w:rPr>
        <w:fldChar w:fldCharType="end"/>
      </w:r>
      <w:r w:rsidRPr="00AE0294">
        <w:rPr>
          <w:rFonts w:cstheme="minorHAnsi"/>
          <w:b/>
          <w:i w:val="0"/>
          <w:color w:val="000000" w:themeColor="text1"/>
          <w:sz w:val="24"/>
          <w:szCs w:val="24"/>
        </w:rPr>
        <w:t xml:space="preserve">: </w:t>
      </w:r>
      <w:r w:rsidR="004F1C54">
        <w:rPr>
          <w:rFonts w:cstheme="minorHAnsi"/>
          <w:b/>
          <w:i w:val="0"/>
          <w:color w:val="000000" w:themeColor="text1"/>
          <w:sz w:val="24"/>
          <w:szCs w:val="24"/>
        </w:rPr>
        <w:t xml:space="preserve">Financial </w:t>
      </w:r>
      <w:r w:rsidR="003369D4" w:rsidRPr="00AE0294">
        <w:rPr>
          <w:rStyle w:val="Heading2Char"/>
          <w:rFonts w:asciiTheme="minorHAnsi" w:eastAsiaTheme="minorHAnsi" w:hAnsiTheme="minorHAnsi" w:cstheme="minorHAnsi"/>
          <w:i w:val="0"/>
          <w:color w:val="000000" w:themeColor="text1"/>
          <w:sz w:val="24"/>
          <w:szCs w:val="24"/>
        </w:rPr>
        <w:t xml:space="preserve">Impact </w:t>
      </w:r>
      <w:r w:rsidR="004F1C54">
        <w:rPr>
          <w:rStyle w:val="Heading2Char"/>
          <w:rFonts w:asciiTheme="minorHAnsi" w:eastAsiaTheme="minorHAnsi" w:hAnsiTheme="minorHAnsi" w:cstheme="minorHAnsi"/>
          <w:i w:val="0"/>
          <w:color w:val="000000" w:themeColor="text1"/>
          <w:sz w:val="24"/>
          <w:szCs w:val="24"/>
        </w:rPr>
        <w:t>of</w:t>
      </w:r>
      <w:r w:rsidR="00AE14DA" w:rsidRPr="00AE0294">
        <w:rPr>
          <w:rStyle w:val="Heading2Char"/>
          <w:rFonts w:asciiTheme="minorHAnsi" w:eastAsiaTheme="minorHAnsi" w:hAnsiTheme="minorHAnsi" w:cstheme="minorHAnsi"/>
          <w:i w:val="0"/>
          <w:color w:val="000000" w:themeColor="text1"/>
          <w:sz w:val="24"/>
          <w:szCs w:val="24"/>
        </w:rPr>
        <w:t xml:space="preserve"> loss on sale of retired assets </w:t>
      </w:r>
      <w:r w:rsidR="003369D4" w:rsidRPr="00AE0294">
        <w:rPr>
          <w:rStyle w:val="Heading2Char"/>
          <w:rFonts w:asciiTheme="minorHAnsi" w:eastAsiaTheme="minorHAnsi" w:hAnsiTheme="minorHAnsi" w:cstheme="minorHAnsi"/>
          <w:i w:val="0"/>
          <w:color w:val="000000" w:themeColor="text1"/>
          <w:sz w:val="24"/>
          <w:szCs w:val="24"/>
        </w:rPr>
        <w:t>along with carrying cost (₹ Crore)</w:t>
      </w:r>
      <w:bookmarkEnd w:id="16"/>
    </w:p>
    <w:tbl>
      <w:tblPr>
        <w:tblW w:w="9684" w:type="dxa"/>
        <w:tblLook w:val="04A0" w:firstRow="1" w:lastRow="0" w:firstColumn="1" w:lastColumn="0" w:noHBand="0" w:noVBand="1"/>
      </w:tblPr>
      <w:tblGrid>
        <w:gridCol w:w="504"/>
        <w:gridCol w:w="1278"/>
        <w:gridCol w:w="814"/>
        <w:gridCol w:w="814"/>
        <w:gridCol w:w="814"/>
        <w:gridCol w:w="935"/>
        <w:gridCol w:w="935"/>
        <w:gridCol w:w="935"/>
        <w:gridCol w:w="935"/>
        <w:gridCol w:w="935"/>
        <w:gridCol w:w="935"/>
      </w:tblGrid>
      <w:tr w:rsidR="009141CD" w:rsidRPr="00AE0294" w:rsidTr="007A3406">
        <w:trPr>
          <w:trHeight w:val="315"/>
          <w:tblHead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S. No</w:t>
            </w:r>
          </w:p>
        </w:tc>
        <w:tc>
          <w:tcPr>
            <w:tcW w:w="1278" w:type="dxa"/>
            <w:tcBorders>
              <w:top w:val="single" w:sz="4" w:space="0" w:color="auto"/>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Particulars</w:t>
            </w:r>
          </w:p>
        </w:tc>
        <w:tc>
          <w:tcPr>
            <w:tcW w:w="764" w:type="dxa"/>
            <w:tcBorders>
              <w:top w:val="single" w:sz="4" w:space="0" w:color="auto"/>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FY 05</w:t>
            </w:r>
          </w:p>
        </w:tc>
        <w:tc>
          <w:tcPr>
            <w:tcW w:w="764" w:type="dxa"/>
            <w:tcBorders>
              <w:top w:val="single" w:sz="4" w:space="0" w:color="auto"/>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FY 06</w:t>
            </w:r>
          </w:p>
        </w:tc>
        <w:tc>
          <w:tcPr>
            <w:tcW w:w="764" w:type="dxa"/>
            <w:tcBorders>
              <w:top w:val="single" w:sz="4" w:space="0" w:color="auto"/>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FY 07</w:t>
            </w:r>
          </w:p>
        </w:tc>
        <w:tc>
          <w:tcPr>
            <w:tcW w:w="935" w:type="dxa"/>
            <w:tcBorders>
              <w:top w:val="single" w:sz="4" w:space="0" w:color="auto"/>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FY 08</w:t>
            </w:r>
          </w:p>
        </w:tc>
        <w:tc>
          <w:tcPr>
            <w:tcW w:w="935" w:type="dxa"/>
            <w:tcBorders>
              <w:top w:val="single" w:sz="4" w:space="0" w:color="auto"/>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FY 09</w:t>
            </w:r>
          </w:p>
        </w:tc>
        <w:tc>
          <w:tcPr>
            <w:tcW w:w="935" w:type="dxa"/>
            <w:tcBorders>
              <w:top w:val="single" w:sz="4" w:space="0" w:color="auto"/>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FY 10</w:t>
            </w:r>
          </w:p>
        </w:tc>
        <w:tc>
          <w:tcPr>
            <w:tcW w:w="935" w:type="dxa"/>
            <w:tcBorders>
              <w:top w:val="single" w:sz="4" w:space="0" w:color="auto"/>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FY 11</w:t>
            </w:r>
          </w:p>
        </w:tc>
        <w:tc>
          <w:tcPr>
            <w:tcW w:w="935" w:type="dxa"/>
            <w:tcBorders>
              <w:top w:val="single" w:sz="4" w:space="0" w:color="auto"/>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FY 12</w:t>
            </w:r>
          </w:p>
        </w:tc>
        <w:tc>
          <w:tcPr>
            <w:tcW w:w="935" w:type="dxa"/>
            <w:tcBorders>
              <w:top w:val="single" w:sz="4" w:space="0" w:color="auto"/>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FY 13</w:t>
            </w:r>
          </w:p>
        </w:tc>
      </w:tr>
      <w:tr w:rsidR="009141CD" w:rsidRPr="00AE0294" w:rsidTr="009141CD">
        <w:trPr>
          <w:trHeight w:val="315"/>
        </w:trPr>
        <w:tc>
          <w:tcPr>
            <w:tcW w:w="504" w:type="dxa"/>
            <w:tcBorders>
              <w:top w:val="nil"/>
              <w:left w:val="single" w:sz="4" w:space="0" w:color="auto"/>
              <w:bottom w:val="single" w:sz="4" w:space="0" w:color="auto"/>
              <w:right w:val="single" w:sz="4" w:space="0" w:color="auto"/>
            </w:tcBorders>
            <w:shd w:val="clear" w:color="auto" w:fill="auto"/>
            <w:vAlign w:val="bottom"/>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w:t>
            </w:r>
          </w:p>
        </w:tc>
        <w:tc>
          <w:tcPr>
            <w:tcW w:w="1278" w:type="dxa"/>
            <w:tcBorders>
              <w:top w:val="nil"/>
              <w:left w:val="nil"/>
              <w:bottom w:val="single" w:sz="4" w:space="0" w:color="auto"/>
              <w:right w:val="single" w:sz="4" w:space="0" w:color="auto"/>
            </w:tcBorders>
            <w:shd w:val="clear" w:color="auto" w:fill="auto"/>
            <w:noWrap/>
            <w:vAlign w:val="bottom"/>
            <w:hideMark/>
          </w:tcPr>
          <w:p w:rsidR="009141CD" w:rsidRPr="00AE0294" w:rsidRDefault="009141CD" w:rsidP="009141CD">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Opening Balance</w:t>
            </w:r>
          </w:p>
        </w:tc>
        <w:tc>
          <w:tcPr>
            <w:tcW w:w="764"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0</w:t>
            </w:r>
          </w:p>
        </w:tc>
        <w:tc>
          <w:tcPr>
            <w:tcW w:w="764"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0</w:t>
            </w:r>
          </w:p>
        </w:tc>
        <w:tc>
          <w:tcPr>
            <w:tcW w:w="764"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2</w:t>
            </w:r>
          </w:p>
        </w:tc>
        <w:tc>
          <w:tcPr>
            <w:tcW w:w="93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3</w:t>
            </w:r>
          </w:p>
        </w:tc>
        <w:tc>
          <w:tcPr>
            <w:tcW w:w="93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4</w:t>
            </w:r>
          </w:p>
        </w:tc>
        <w:tc>
          <w:tcPr>
            <w:tcW w:w="93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5</w:t>
            </w:r>
          </w:p>
        </w:tc>
        <w:tc>
          <w:tcPr>
            <w:tcW w:w="93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6</w:t>
            </w:r>
          </w:p>
        </w:tc>
        <w:tc>
          <w:tcPr>
            <w:tcW w:w="93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7</w:t>
            </w:r>
          </w:p>
        </w:tc>
        <w:tc>
          <w:tcPr>
            <w:tcW w:w="93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9</w:t>
            </w:r>
          </w:p>
        </w:tc>
      </w:tr>
      <w:tr w:rsidR="009141CD" w:rsidRPr="00AE0294" w:rsidTr="009141CD">
        <w:trPr>
          <w:trHeight w:val="315"/>
        </w:trPr>
        <w:tc>
          <w:tcPr>
            <w:tcW w:w="504" w:type="dxa"/>
            <w:tcBorders>
              <w:top w:val="nil"/>
              <w:left w:val="single" w:sz="4" w:space="0" w:color="auto"/>
              <w:bottom w:val="single" w:sz="4" w:space="0" w:color="auto"/>
              <w:right w:val="single" w:sz="4" w:space="0" w:color="auto"/>
            </w:tcBorders>
            <w:shd w:val="clear" w:color="auto" w:fill="auto"/>
            <w:vAlign w:val="bottom"/>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2</w:t>
            </w:r>
          </w:p>
        </w:tc>
        <w:tc>
          <w:tcPr>
            <w:tcW w:w="1278" w:type="dxa"/>
            <w:tcBorders>
              <w:top w:val="nil"/>
              <w:left w:val="nil"/>
              <w:bottom w:val="single" w:sz="4" w:space="0" w:color="auto"/>
              <w:right w:val="single" w:sz="4" w:space="0" w:color="auto"/>
            </w:tcBorders>
            <w:shd w:val="clear" w:color="auto" w:fill="auto"/>
            <w:noWrap/>
            <w:vAlign w:val="bottom"/>
            <w:hideMark/>
          </w:tcPr>
          <w:p w:rsidR="009141CD" w:rsidRPr="00AE0294" w:rsidRDefault="009141CD" w:rsidP="009141CD">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Additions</w:t>
            </w:r>
          </w:p>
        </w:tc>
        <w:tc>
          <w:tcPr>
            <w:tcW w:w="764"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0</w:t>
            </w:r>
          </w:p>
        </w:tc>
        <w:tc>
          <w:tcPr>
            <w:tcW w:w="764"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2</w:t>
            </w:r>
          </w:p>
        </w:tc>
        <w:tc>
          <w:tcPr>
            <w:tcW w:w="764"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1</w:t>
            </w:r>
          </w:p>
        </w:tc>
        <w:tc>
          <w:tcPr>
            <w:tcW w:w="93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1</w:t>
            </w:r>
          </w:p>
        </w:tc>
        <w:tc>
          <w:tcPr>
            <w:tcW w:w="93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1</w:t>
            </w:r>
          </w:p>
        </w:tc>
        <w:tc>
          <w:tcPr>
            <w:tcW w:w="93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0</w:t>
            </w:r>
          </w:p>
        </w:tc>
        <w:tc>
          <w:tcPr>
            <w:tcW w:w="93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0</w:t>
            </w:r>
          </w:p>
        </w:tc>
        <w:tc>
          <w:tcPr>
            <w:tcW w:w="93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1</w:t>
            </w:r>
          </w:p>
        </w:tc>
        <w:tc>
          <w:tcPr>
            <w:tcW w:w="93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15</w:t>
            </w:r>
          </w:p>
        </w:tc>
      </w:tr>
      <w:tr w:rsidR="009141CD" w:rsidRPr="00AE0294" w:rsidTr="009141CD">
        <w:trPr>
          <w:trHeight w:val="315"/>
        </w:trPr>
        <w:tc>
          <w:tcPr>
            <w:tcW w:w="504" w:type="dxa"/>
            <w:tcBorders>
              <w:top w:val="nil"/>
              <w:left w:val="single" w:sz="4" w:space="0" w:color="auto"/>
              <w:bottom w:val="single" w:sz="4" w:space="0" w:color="auto"/>
              <w:right w:val="single" w:sz="4" w:space="0" w:color="auto"/>
            </w:tcBorders>
            <w:shd w:val="clear" w:color="auto" w:fill="auto"/>
            <w:vAlign w:val="bottom"/>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3</w:t>
            </w:r>
          </w:p>
        </w:tc>
        <w:tc>
          <w:tcPr>
            <w:tcW w:w="1278" w:type="dxa"/>
            <w:tcBorders>
              <w:top w:val="nil"/>
              <w:left w:val="nil"/>
              <w:bottom w:val="single" w:sz="4" w:space="0" w:color="auto"/>
              <w:right w:val="single" w:sz="4" w:space="0" w:color="auto"/>
            </w:tcBorders>
            <w:shd w:val="clear" w:color="auto" w:fill="auto"/>
            <w:noWrap/>
            <w:vAlign w:val="bottom"/>
            <w:hideMark/>
          </w:tcPr>
          <w:p w:rsidR="009141CD" w:rsidRPr="00AE0294" w:rsidRDefault="009141CD" w:rsidP="009141CD">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Closing Balance</w:t>
            </w:r>
          </w:p>
        </w:tc>
        <w:tc>
          <w:tcPr>
            <w:tcW w:w="764"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0</w:t>
            </w:r>
          </w:p>
        </w:tc>
        <w:tc>
          <w:tcPr>
            <w:tcW w:w="764"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2</w:t>
            </w:r>
          </w:p>
        </w:tc>
        <w:tc>
          <w:tcPr>
            <w:tcW w:w="764"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2</w:t>
            </w:r>
          </w:p>
        </w:tc>
        <w:tc>
          <w:tcPr>
            <w:tcW w:w="935"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3</w:t>
            </w:r>
          </w:p>
        </w:tc>
        <w:tc>
          <w:tcPr>
            <w:tcW w:w="935"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4</w:t>
            </w:r>
          </w:p>
        </w:tc>
        <w:tc>
          <w:tcPr>
            <w:tcW w:w="935"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5</w:t>
            </w:r>
          </w:p>
        </w:tc>
        <w:tc>
          <w:tcPr>
            <w:tcW w:w="935"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6</w:t>
            </w:r>
          </w:p>
        </w:tc>
        <w:tc>
          <w:tcPr>
            <w:tcW w:w="935"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8</w:t>
            </w:r>
          </w:p>
        </w:tc>
        <w:tc>
          <w:tcPr>
            <w:tcW w:w="935"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24</w:t>
            </w:r>
          </w:p>
        </w:tc>
      </w:tr>
      <w:tr w:rsidR="009141CD" w:rsidRPr="00AE0294" w:rsidTr="009141CD">
        <w:trPr>
          <w:trHeight w:val="315"/>
        </w:trPr>
        <w:tc>
          <w:tcPr>
            <w:tcW w:w="504" w:type="dxa"/>
            <w:tcBorders>
              <w:top w:val="nil"/>
              <w:left w:val="single" w:sz="4" w:space="0" w:color="auto"/>
              <w:bottom w:val="single" w:sz="4" w:space="0" w:color="auto"/>
              <w:right w:val="single" w:sz="4" w:space="0" w:color="auto"/>
            </w:tcBorders>
            <w:shd w:val="clear" w:color="auto" w:fill="auto"/>
            <w:vAlign w:val="bottom"/>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4</w:t>
            </w:r>
          </w:p>
        </w:tc>
        <w:tc>
          <w:tcPr>
            <w:tcW w:w="1278" w:type="dxa"/>
            <w:tcBorders>
              <w:top w:val="nil"/>
              <w:left w:val="nil"/>
              <w:bottom w:val="single" w:sz="4" w:space="0" w:color="auto"/>
              <w:right w:val="single" w:sz="4" w:space="0" w:color="auto"/>
            </w:tcBorders>
            <w:shd w:val="clear" w:color="auto" w:fill="auto"/>
            <w:noWrap/>
            <w:vAlign w:val="bottom"/>
            <w:hideMark/>
          </w:tcPr>
          <w:p w:rsidR="009141CD" w:rsidRPr="00AE0294" w:rsidRDefault="009141CD" w:rsidP="009141CD">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Avg. Balance</w:t>
            </w:r>
          </w:p>
        </w:tc>
        <w:tc>
          <w:tcPr>
            <w:tcW w:w="764"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0</w:t>
            </w:r>
          </w:p>
        </w:tc>
        <w:tc>
          <w:tcPr>
            <w:tcW w:w="764"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1</w:t>
            </w:r>
          </w:p>
        </w:tc>
        <w:tc>
          <w:tcPr>
            <w:tcW w:w="764"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2</w:t>
            </w:r>
          </w:p>
        </w:tc>
        <w:tc>
          <w:tcPr>
            <w:tcW w:w="935"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3</w:t>
            </w:r>
          </w:p>
        </w:tc>
        <w:tc>
          <w:tcPr>
            <w:tcW w:w="935"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4</w:t>
            </w:r>
          </w:p>
        </w:tc>
        <w:tc>
          <w:tcPr>
            <w:tcW w:w="935"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5</w:t>
            </w:r>
          </w:p>
        </w:tc>
        <w:tc>
          <w:tcPr>
            <w:tcW w:w="935"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6</w:t>
            </w:r>
          </w:p>
        </w:tc>
        <w:tc>
          <w:tcPr>
            <w:tcW w:w="935"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8</w:t>
            </w:r>
          </w:p>
        </w:tc>
        <w:tc>
          <w:tcPr>
            <w:tcW w:w="935"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17</w:t>
            </w:r>
          </w:p>
        </w:tc>
      </w:tr>
      <w:tr w:rsidR="009141CD" w:rsidRPr="00AE0294" w:rsidTr="009141CD">
        <w:trPr>
          <w:trHeight w:val="315"/>
        </w:trPr>
        <w:tc>
          <w:tcPr>
            <w:tcW w:w="504" w:type="dxa"/>
            <w:tcBorders>
              <w:top w:val="nil"/>
              <w:left w:val="single" w:sz="4" w:space="0" w:color="auto"/>
              <w:bottom w:val="single" w:sz="4" w:space="0" w:color="auto"/>
              <w:right w:val="single" w:sz="4" w:space="0" w:color="auto"/>
            </w:tcBorders>
            <w:shd w:val="clear" w:color="auto" w:fill="auto"/>
            <w:vAlign w:val="bottom"/>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5</w:t>
            </w:r>
          </w:p>
        </w:tc>
        <w:tc>
          <w:tcPr>
            <w:tcW w:w="1278" w:type="dxa"/>
            <w:tcBorders>
              <w:top w:val="nil"/>
              <w:left w:val="nil"/>
              <w:bottom w:val="single" w:sz="4" w:space="0" w:color="auto"/>
              <w:right w:val="single" w:sz="4" w:space="0" w:color="auto"/>
            </w:tcBorders>
            <w:shd w:val="clear" w:color="auto" w:fill="auto"/>
            <w:noWrap/>
            <w:vAlign w:val="bottom"/>
            <w:hideMark/>
          </w:tcPr>
          <w:p w:rsidR="009141CD" w:rsidRPr="00AE0294" w:rsidRDefault="009141CD" w:rsidP="009141CD">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Carrying Cost</w:t>
            </w:r>
          </w:p>
        </w:tc>
        <w:tc>
          <w:tcPr>
            <w:tcW w:w="764"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9.00%</w:t>
            </w:r>
          </w:p>
        </w:tc>
        <w:tc>
          <w:tcPr>
            <w:tcW w:w="764"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9.00%</w:t>
            </w:r>
          </w:p>
        </w:tc>
        <w:tc>
          <w:tcPr>
            <w:tcW w:w="764"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9.00%</w:t>
            </w:r>
          </w:p>
        </w:tc>
        <w:tc>
          <w:tcPr>
            <w:tcW w:w="93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13.68%</w:t>
            </w:r>
          </w:p>
        </w:tc>
        <w:tc>
          <w:tcPr>
            <w:tcW w:w="93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13.75%</w:t>
            </w:r>
          </w:p>
        </w:tc>
        <w:tc>
          <w:tcPr>
            <w:tcW w:w="93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13.11%</w:t>
            </w:r>
          </w:p>
        </w:tc>
        <w:tc>
          <w:tcPr>
            <w:tcW w:w="93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13.38%</w:t>
            </w:r>
          </w:p>
        </w:tc>
        <w:tc>
          <w:tcPr>
            <w:tcW w:w="93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14.88%</w:t>
            </w:r>
          </w:p>
        </w:tc>
        <w:tc>
          <w:tcPr>
            <w:tcW w:w="93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15.03%</w:t>
            </w:r>
          </w:p>
        </w:tc>
      </w:tr>
      <w:tr w:rsidR="009141CD" w:rsidRPr="00AE0294" w:rsidTr="009141CD">
        <w:trPr>
          <w:trHeight w:val="315"/>
        </w:trPr>
        <w:tc>
          <w:tcPr>
            <w:tcW w:w="504" w:type="dxa"/>
            <w:tcBorders>
              <w:top w:val="nil"/>
              <w:left w:val="single" w:sz="4" w:space="0" w:color="auto"/>
              <w:bottom w:val="single" w:sz="4" w:space="0" w:color="auto"/>
              <w:right w:val="single" w:sz="4" w:space="0" w:color="auto"/>
            </w:tcBorders>
            <w:shd w:val="clear" w:color="auto" w:fill="auto"/>
            <w:vAlign w:val="bottom"/>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6</w:t>
            </w:r>
          </w:p>
        </w:tc>
        <w:tc>
          <w:tcPr>
            <w:tcW w:w="1278" w:type="dxa"/>
            <w:tcBorders>
              <w:top w:val="nil"/>
              <w:left w:val="nil"/>
              <w:bottom w:val="single" w:sz="4" w:space="0" w:color="auto"/>
              <w:right w:val="single" w:sz="4" w:space="0" w:color="auto"/>
            </w:tcBorders>
            <w:shd w:val="clear" w:color="auto" w:fill="auto"/>
            <w:noWrap/>
            <w:vAlign w:val="bottom"/>
            <w:hideMark/>
          </w:tcPr>
          <w:p w:rsidR="009141CD" w:rsidRPr="00AE0294" w:rsidRDefault="009141CD" w:rsidP="009141CD">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Carrying Cost</w:t>
            </w:r>
          </w:p>
        </w:tc>
        <w:tc>
          <w:tcPr>
            <w:tcW w:w="764"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0</w:t>
            </w:r>
          </w:p>
        </w:tc>
        <w:tc>
          <w:tcPr>
            <w:tcW w:w="764"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0</w:t>
            </w:r>
          </w:p>
        </w:tc>
        <w:tc>
          <w:tcPr>
            <w:tcW w:w="764"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0</w:t>
            </w:r>
          </w:p>
        </w:tc>
        <w:tc>
          <w:tcPr>
            <w:tcW w:w="935"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0</w:t>
            </w:r>
          </w:p>
        </w:tc>
        <w:tc>
          <w:tcPr>
            <w:tcW w:w="935"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1</w:t>
            </w:r>
          </w:p>
        </w:tc>
        <w:tc>
          <w:tcPr>
            <w:tcW w:w="935"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1</w:t>
            </w:r>
          </w:p>
        </w:tc>
        <w:tc>
          <w:tcPr>
            <w:tcW w:w="935"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1</w:t>
            </w:r>
          </w:p>
        </w:tc>
        <w:tc>
          <w:tcPr>
            <w:tcW w:w="935"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1</w:t>
            </w:r>
          </w:p>
        </w:tc>
        <w:tc>
          <w:tcPr>
            <w:tcW w:w="935"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3</w:t>
            </w:r>
          </w:p>
        </w:tc>
      </w:tr>
      <w:tr w:rsidR="009141CD" w:rsidRPr="00AE0294" w:rsidTr="009141CD">
        <w:trPr>
          <w:trHeight w:val="315"/>
        </w:trPr>
        <w:tc>
          <w:tcPr>
            <w:tcW w:w="504" w:type="dxa"/>
            <w:tcBorders>
              <w:top w:val="nil"/>
              <w:left w:val="single" w:sz="4" w:space="0" w:color="auto"/>
              <w:bottom w:val="single" w:sz="4" w:space="0" w:color="auto"/>
              <w:right w:val="single" w:sz="4" w:space="0" w:color="auto"/>
            </w:tcBorders>
            <w:shd w:val="clear" w:color="auto" w:fill="auto"/>
            <w:vAlign w:val="bottom"/>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7</w:t>
            </w:r>
          </w:p>
        </w:tc>
        <w:tc>
          <w:tcPr>
            <w:tcW w:w="1278" w:type="dxa"/>
            <w:tcBorders>
              <w:top w:val="nil"/>
              <w:left w:val="nil"/>
              <w:bottom w:val="single" w:sz="4" w:space="0" w:color="auto"/>
              <w:right w:val="single" w:sz="4" w:space="0" w:color="auto"/>
            </w:tcBorders>
            <w:shd w:val="clear" w:color="auto" w:fill="auto"/>
            <w:noWrap/>
            <w:vAlign w:val="bottom"/>
            <w:hideMark/>
          </w:tcPr>
          <w:p w:rsidR="009141CD" w:rsidRPr="00AE0294" w:rsidRDefault="009141CD" w:rsidP="009141CD">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Grand Balance</w:t>
            </w:r>
          </w:p>
        </w:tc>
        <w:tc>
          <w:tcPr>
            <w:tcW w:w="764"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cstheme="minorHAnsi"/>
                <w:b/>
                <w:bCs/>
                <w:color w:val="000000"/>
                <w:sz w:val="24"/>
                <w:szCs w:val="24"/>
              </w:rPr>
              <w:t>0</w:t>
            </w:r>
          </w:p>
        </w:tc>
        <w:tc>
          <w:tcPr>
            <w:tcW w:w="764"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cstheme="minorHAnsi"/>
                <w:b/>
                <w:bCs/>
                <w:color w:val="000000"/>
                <w:sz w:val="24"/>
                <w:szCs w:val="24"/>
              </w:rPr>
              <w:t>2</w:t>
            </w:r>
          </w:p>
        </w:tc>
        <w:tc>
          <w:tcPr>
            <w:tcW w:w="764"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cstheme="minorHAnsi"/>
                <w:b/>
                <w:bCs/>
                <w:color w:val="000000"/>
                <w:sz w:val="24"/>
                <w:szCs w:val="24"/>
              </w:rPr>
              <w:t>3</w:t>
            </w:r>
          </w:p>
        </w:tc>
        <w:tc>
          <w:tcPr>
            <w:tcW w:w="935"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cstheme="minorHAnsi"/>
                <w:b/>
                <w:bCs/>
                <w:color w:val="000000"/>
                <w:sz w:val="24"/>
                <w:szCs w:val="24"/>
              </w:rPr>
              <w:t>4</w:t>
            </w:r>
          </w:p>
        </w:tc>
        <w:tc>
          <w:tcPr>
            <w:tcW w:w="935"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cstheme="minorHAnsi"/>
                <w:b/>
                <w:bCs/>
                <w:color w:val="000000"/>
                <w:sz w:val="24"/>
                <w:szCs w:val="24"/>
              </w:rPr>
              <w:t>5</w:t>
            </w:r>
          </w:p>
        </w:tc>
        <w:tc>
          <w:tcPr>
            <w:tcW w:w="935"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cstheme="minorHAnsi"/>
                <w:b/>
                <w:bCs/>
                <w:color w:val="000000"/>
                <w:sz w:val="24"/>
                <w:szCs w:val="24"/>
              </w:rPr>
              <w:t>6</w:t>
            </w:r>
          </w:p>
        </w:tc>
        <w:tc>
          <w:tcPr>
            <w:tcW w:w="935"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cstheme="minorHAnsi"/>
                <w:b/>
                <w:bCs/>
                <w:color w:val="000000"/>
                <w:sz w:val="24"/>
                <w:szCs w:val="24"/>
              </w:rPr>
              <w:t>7</w:t>
            </w:r>
          </w:p>
        </w:tc>
        <w:tc>
          <w:tcPr>
            <w:tcW w:w="935"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cstheme="minorHAnsi"/>
                <w:b/>
                <w:bCs/>
                <w:color w:val="000000"/>
                <w:sz w:val="24"/>
                <w:szCs w:val="24"/>
              </w:rPr>
              <w:t>9</w:t>
            </w:r>
          </w:p>
        </w:tc>
        <w:tc>
          <w:tcPr>
            <w:tcW w:w="935"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cstheme="minorHAnsi"/>
                <w:b/>
                <w:bCs/>
                <w:color w:val="000000"/>
                <w:sz w:val="24"/>
                <w:szCs w:val="24"/>
              </w:rPr>
              <w:t>27</w:t>
            </w:r>
          </w:p>
        </w:tc>
      </w:tr>
    </w:tbl>
    <w:p w:rsidR="009141CD" w:rsidRPr="00AE0294" w:rsidRDefault="009141CD" w:rsidP="009141CD">
      <w:pPr>
        <w:pStyle w:val="ARRB11"/>
        <w:numPr>
          <w:ilvl w:val="0"/>
          <w:numId w:val="0"/>
        </w:numPr>
        <w:tabs>
          <w:tab w:val="clear" w:pos="1440"/>
        </w:tabs>
        <w:ind w:left="993"/>
        <w:rPr>
          <w:szCs w:val="24"/>
          <w:lang w:val="en-IN" w:bidi="te-IN"/>
        </w:rPr>
      </w:pPr>
    </w:p>
    <w:tbl>
      <w:tblPr>
        <w:tblW w:w="9257" w:type="dxa"/>
        <w:tblLook w:val="04A0" w:firstRow="1" w:lastRow="0" w:firstColumn="1" w:lastColumn="0" w:noHBand="0" w:noVBand="1"/>
      </w:tblPr>
      <w:tblGrid>
        <w:gridCol w:w="504"/>
        <w:gridCol w:w="1278"/>
        <w:gridCol w:w="935"/>
        <w:gridCol w:w="935"/>
        <w:gridCol w:w="935"/>
        <w:gridCol w:w="935"/>
        <w:gridCol w:w="863"/>
        <w:gridCol w:w="863"/>
        <w:gridCol w:w="863"/>
        <w:gridCol w:w="935"/>
        <w:gridCol w:w="935"/>
      </w:tblGrid>
      <w:tr w:rsidR="009141CD" w:rsidRPr="00AE0294" w:rsidTr="009141CD">
        <w:trPr>
          <w:trHeight w:val="314"/>
          <w:tblHeader/>
        </w:trPr>
        <w:tc>
          <w:tcPr>
            <w:tcW w:w="44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S. No</w:t>
            </w:r>
          </w:p>
        </w:tc>
        <w:tc>
          <w:tcPr>
            <w:tcW w:w="1126" w:type="dxa"/>
            <w:tcBorders>
              <w:top w:val="single" w:sz="4" w:space="0" w:color="auto"/>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Particulars</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FY 14</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FY 15</w:t>
            </w:r>
          </w:p>
        </w:tc>
        <w:tc>
          <w:tcPr>
            <w:tcW w:w="863" w:type="dxa"/>
            <w:tcBorders>
              <w:top w:val="single" w:sz="4" w:space="0" w:color="auto"/>
              <w:left w:val="nil"/>
              <w:bottom w:val="single" w:sz="4" w:space="0" w:color="auto"/>
              <w:right w:val="nil"/>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FY 16</w:t>
            </w:r>
          </w:p>
        </w:tc>
        <w:tc>
          <w:tcPr>
            <w:tcW w:w="8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FY 17</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FY 18</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FY 19</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FY 20</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FY 21</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FY 22</w:t>
            </w:r>
          </w:p>
        </w:tc>
      </w:tr>
      <w:tr w:rsidR="009141CD" w:rsidRPr="00AE0294" w:rsidTr="009141CD">
        <w:trPr>
          <w:trHeight w:val="314"/>
        </w:trPr>
        <w:tc>
          <w:tcPr>
            <w:tcW w:w="444" w:type="dxa"/>
            <w:tcBorders>
              <w:top w:val="nil"/>
              <w:left w:val="single" w:sz="4" w:space="0" w:color="auto"/>
              <w:bottom w:val="single" w:sz="4" w:space="0" w:color="auto"/>
              <w:right w:val="single" w:sz="4" w:space="0" w:color="auto"/>
            </w:tcBorders>
            <w:shd w:val="clear" w:color="auto" w:fill="auto"/>
            <w:vAlign w:val="bottom"/>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w:t>
            </w:r>
          </w:p>
        </w:tc>
        <w:tc>
          <w:tcPr>
            <w:tcW w:w="1126" w:type="dxa"/>
            <w:tcBorders>
              <w:top w:val="nil"/>
              <w:left w:val="nil"/>
              <w:bottom w:val="single" w:sz="4" w:space="0" w:color="auto"/>
              <w:right w:val="single" w:sz="4" w:space="0" w:color="auto"/>
            </w:tcBorders>
            <w:shd w:val="clear" w:color="auto" w:fill="auto"/>
            <w:noWrap/>
            <w:vAlign w:val="bottom"/>
            <w:hideMark/>
          </w:tcPr>
          <w:p w:rsidR="009141CD" w:rsidRPr="00AE0294" w:rsidRDefault="009141CD" w:rsidP="009141CD">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Opening Balance</w:t>
            </w:r>
          </w:p>
        </w:tc>
        <w:tc>
          <w:tcPr>
            <w:tcW w:w="823"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27</w:t>
            </w:r>
          </w:p>
        </w:tc>
        <w:tc>
          <w:tcPr>
            <w:tcW w:w="823"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32</w:t>
            </w:r>
          </w:p>
        </w:tc>
        <w:tc>
          <w:tcPr>
            <w:tcW w:w="863"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41</w:t>
            </w:r>
          </w:p>
        </w:tc>
        <w:tc>
          <w:tcPr>
            <w:tcW w:w="863"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60</w:t>
            </w:r>
          </w:p>
        </w:tc>
        <w:tc>
          <w:tcPr>
            <w:tcW w:w="863"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79</w:t>
            </w:r>
          </w:p>
        </w:tc>
        <w:tc>
          <w:tcPr>
            <w:tcW w:w="863"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97</w:t>
            </w:r>
          </w:p>
        </w:tc>
        <w:tc>
          <w:tcPr>
            <w:tcW w:w="863"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120</w:t>
            </w:r>
          </w:p>
        </w:tc>
        <w:tc>
          <w:tcPr>
            <w:tcW w:w="863"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155</w:t>
            </w:r>
          </w:p>
        </w:tc>
        <w:tc>
          <w:tcPr>
            <w:tcW w:w="863"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175</w:t>
            </w:r>
          </w:p>
        </w:tc>
      </w:tr>
      <w:tr w:rsidR="009141CD" w:rsidRPr="00AE0294" w:rsidTr="009141CD">
        <w:trPr>
          <w:trHeight w:val="314"/>
        </w:trPr>
        <w:tc>
          <w:tcPr>
            <w:tcW w:w="444" w:type="dxa"/>
            <w:tcBorders>
              <w:top w:val="nil"/>
              <w:left w:val="single" w:sz="4" w:space="0" w:color="auto"/>
              <w:bottom w:val="single" w:sz="4" w:space="0" w:color="auto"/>
              <w:right w:val="single" w:sz="4" w:space="0" w:color="auto"/>
            </w:tcBorders>
            <w:shd w:val="clear" w:color="auto" w:fill="auto"/>
            <w:vAlign w:val="bottom"/>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2</w:t>
            </w:r>
          </w:p>
        </w:tc>
        <w:tc>
          <w:tcPr>
            <w:tcW w:w="1126" w:type="dxa"/>
            <w:tcBorders>
              <w:top w:val="nil"/>
              <w:left w:val="nil"/>
              <w:bottom w:val="single" w:sz="4" w:space="0" w:color="auto"/>
              <w:right w:val="single" w:sz="4" w:space="0" w:color="auto"/>
            </w:tcBorders>
            <w:shd w:val="clear" w:color="auto" w:fill="auto"/>
            <w:noWrap/>
            <w:vAlign w:val="bottom"/>
            <w:hideMark/>
          </w:tcPr>
          <w:p w:rsidR="009141CD" w:rsidRPr="00AE0294" w:rsidRDefault="009141CD" w:rsidP="009141CD">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Additions</w:t>
            </w:r>
          </w:p>
        </w:tc>
        <w:tc>
          <w:tcPr>
            <w:tcW w:w="823"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w:t>
            </w:r>
          </w:p>
        </w:tc>
        <w:tc>
          <w:tcPr>
            <w:tcW w:w="823"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4</w:t>
            </w:r>
          </w:p>
        </w:tc>
        <w:tc>
          <w:tcPr>
            <w:tcW w:w="863"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12</w:t>
            </w:r>
          </w:p>
        </w:tc>
        <w:tc>
          <w:tcPr>
            <w:tcW w:w="863"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9</w:t>
            </w:r>
          </w:p>
        </w:tc>
        <w:tc>
          <w:tcPr>
            <w:tcW w:w="863"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7</w:t>
            </w:r>
          </w:p>
        </w:tc>
        <w:tc>
          <w:tcPr>
            <w:tcW w:w="863"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9</w:t>
            </w:r>
          </w:p>
        </w:tc>
        <w:tc>
          <w:tcPr>
            <w:tcW w:w="863"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17</w:t>
            </w:r>
          </w:p>
        </w:tc>
        <w:tc>
          <w:tcPr>
            <w:tcW w:w="863"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p>
        </w:tc>
        <w:tc>
          <w:tcPr>
            <w:tcW w:w="863"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p>
        </w:tc>
      </w:tr>
      <w:tr w:rsidR="009141CD" w:rsidRPr="00AE0294" w:rsidTr="009141CD">
        <w:trPr>
          <w:trHeight w:val="314"/>
        </w:trPr>
        <w:tc>
          <w:tcPr>
            <w:tcW w:w="444" w:type="dxa"/>
            <w:tcBorders>
              <w:top w:val="nil"/>
              <w:left w:val="single" w:sz="4" w:space="0" w:color="auto"/>
              <w:bottom w:val="single" w:sz="4" w:space="0" w:color="auto"/>
              <w:right w:val="single" w:sz="4" w:space="0" w:color="auto"/>
            </w:tcBorders>
            <w:shd w:val="clear" w:color="auto" w:fill="auto"/>
            <w:vAlign w:val="bottom"/>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3</w:t>
            </w:r>
          </w:p>
        </w:tc>
        <w:tc>
          <w:tcPr>
            <w:tcW w:w="1126" w:type="dxa"/>
            <w:tcBorders>
              <w:top w:val="nil"/>
              <w:left w:val="nil"/>
              <w:bottom w:val="single" w:sz="4" w:space="0" w:color="auto"/>
              <w:right w:val="single" w:sz="4" w:space="0" w:color="auto"/>
            </w:tcBorders>
            <w:shd w:val="clear" w:color="auto" w:fill="auto"/>
            <w:noWrap/>
            <w:vAlign w:val="bottom"/>
            <w:hideMark/>
          </w:tcPr>
          <w:p w:rsidR="009141CD" w:rsidRPr="00AE0294" w:rsidRDefault="009141CD" w:rsidP="009141CD">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Closing Balance</w:t>
            </w:r>
          </w:p>
        </w:tc>
        <w:tc>
          <w:tcPr>
            <w:tcW w:w="823"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28</w:t>
            </w:r>
          </w:p>
        </w:tc>
        <w:tc>
          <w:tcPr>
            <w:tcW w:w="823"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36</w:t>
            </w:r>
          </w:p>
        </w:tc>
        <w:tc>
          <w:tcPr>
            <w:tcW w:w="863"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53</w:t>
            </w:r>
          </w:p>
        </w:tc>
        <w:tc>
          <w:tcPr>
            <w:tcW w:w="863"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69</w:t>
            </w:r>
          </w:p>
        </w:tc>
        <w:tc>
          <w:tcPr>
            <w:tcW w:w="863"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85</w:t>
            </w:r>
          </w:p>
        </w:tc>
        <w:tc>
          <w:tcPr>
            <w:tcW w:w="863"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105</w:t>
            </w:r>
          </w:p>
        </w:tc>
        <w:tc>
          <w:tcPr>
            <w:tcW w:w="863"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137</w:t>
            </w:r>
          </w:p>
        </w:tc>
        <w:tc>
          <w:tcPr>
            <w:tcW w:w="863"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155</w:t>
            </w:r>
          </w:p>
        </w:tc>
        <w:tc>
          <w:tcPr>
            <w:tcW w:w="863"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175</w:t>
            </w:r>
          </w:p>
        </w:tc>
      </w:tr>
      <w:tr w:rsidR="009141CD" w:rsidRPr="00AE0294" w:rsidTr="009141CD">
        <w:trPr>
          <w:trHeight w:val="314"/>
        </w:trPr>
        <w:tc>
          <w:tcPr>
            <w:tcW w:w="444" w:type="dxa"/>
            <w:tcBorders>
              <w:top w:val="nil"/>
              <w:left w:val="single" w:sz="4" w:space="0" w:color="auto"/>
              <w:bottom w:val="single" w:sz="4" w:space="0" w:color="auto"/>
              <w:right w:val="single" w:sz="4" w:space="0" w:color="auto"/>
            </w:tcBorders>
            <w:shd w:val="clear" w:color="auto" w:fill="auto"/>
            <w:vAlign w:val="bottom"/>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lastRenderedPageBreak/>
              <w:t>4</w:t>
            </w:r>
          </w:p>
        </w:tc>
        <w:tc>
          <w:tcPr>
            <w:tcW w:w="1126" w:type="dxa"/>
            <w:tcBorders>
              <w:top w:val="nil"/>
              <w:left w:val="nil"/>
              <w:bottom w:val="single" w:sz="4" w:space="0" w:color="auto"/>
              <w:right w:val="single" w:sz="4" w:space="0" w:color="auto"/>
            </w:tcBorders>
            <w:shd w:val="clear" w:color="auto" w:fill="auto"/>
            <w:noWrap/>
            <w:vAlign w:val="bottom"/>
            <w:hideMark/>
          </w:tcPr>
          <w:p w:rsidR="009141CD" w:rsidRPr="00AE0294" w:rsidRDefault="009141CD" w:rsidP="009141CD">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Avg. Balance</w:t>
            </w:r>
          </w:p>
        </w:tc>
        <w:tc>
          <w:tcPr>
            <w:tcW w:w="823"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28</w:t>
            </w:r>
          </w:p>
        </w:tc>
        <w:tc>
          <w:tcPr>
            <w:tcW w:w="823"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34</w:t>
            </w:r>
          </w:p>
        </w:tc>
        <w:tc>
          <w:tcPr>
            <w:tcW w:w="863"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47</w:t>
            </w:r>
          </w:p>
        </w:tc>
        <w:tc>
          <w:tcPr>
            <w:tcW w:w="863"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65</w:t>
            </w:r>
          </w:p>
        </w:tc>
        <w:tc>
          <w:tcPr>
            <w:tcW w:w="863"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82</w:t>
            </w:r>
          </w:p>
        </w:tc>
        <w:tc>
          <w:tcPr>
            <w:tcW w:w="863"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101</w:t>
            </w:r>
          </w:p>
        </w:tc>
        <w:tc>
          <w:tcPr>
            <w:tcW w:w="863"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128</w:t>
            </w:r>
          </w:p>
        </w:tc>
        <w:tc>
          <w:tcPr>
            <w:tcW w:w="863"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155</w:t>
            </w:r>
          </w:p>
        </w:tc>
        <w:tc>
          <w:tcPr>
            <w:tcW w:w="863"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175</w:t>
            </w:r>
          </w:p>
        </w:tc>
      </w:tr>
      <w:tr w:rsidR="009141CD" w:rsidRPr="00AE0294" w:rsidTr="009141CD">
        <w:trPr>
          <w:trHeight w:val="314"/>
        </w:trPr>
        <w:tc>
          <w:tcPr>
            <w:tcW w:w="444" w:type="dxa"/>
            <w:tcBorders>
              <w:top w:val="nil"/>
              <w:left w:val="single" w:sz="4" w:space="0" w:color="auto"/>
              <w:bottom w:val="single" w:sz="4" w:space="0" w:color="auto"/>
              <w:right w:val="single" w:sz="4" w:space="0" w:color="auto"/>
            </w:tcBorders>
            <w:shd w:val="clear" w:color="auto" w:fill="auto"/>
            <w:vAlign w:val="bottom"/>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5</w:t>
            </w:r>
          </w:p>
        </w:tc>
        <w:tc>
          <w:tcPr>
            <w:tcW w:w="1126" w:type="dxa"/>
            <w:tcBorders>
              <w:top w:val="nil"/>
              <w:left w:val="nil"/>
              <w:bottom w:val="single" w:sz="4" w:space="0" w:color="auto"/>
              <w:right w:val="single" w:sz="4" w:space="0" w:color="auto"/>
            </w:tcBorders>
            <w:shd w:val="clear" w:color="auto" w:fill="auto"/>
            <w:noWrap/>
            <w:vAlign w:val="bottom"/>
            <w:hideMark/>
          </w:tcPr>
          <w:p w:rsidR="009141CD" w:rsidRPr="00AE0294" w:rsidRDefault="009141CD" w:rsidP="009141CD">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Carrying Cost</w:t>
            </w:r>
          </w:p>
        </w:tc>
        <w:tc>
          <w:tcPr>
            <w:tcW w:w="823"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15.01%</w:t>
            </w:r>
          </w:p>
        </w:tc>
        <w:tc>
          <w:tcPr>
            <w:tcW w:w="823"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15.13%</w:t>
            </w:r>
          </w:p>
        </w:tc>
        <w:tc>
          <w:tcPr>
            <w:tcW w:w="863" w:type="dxa"/>
            <w:tcBorders>
              <w:top w:val="nil"/>
              <w:left w:val="nil"/>
              <w:bottom w:val="single" w:sz="4" w:space="0" w:color="auto"/>
              <w:right w:val="nil"/>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14.80%</w:t>
            </w:r>
          </w:p>
        </w:tc>
        <w:tc>
          <w:tcPr>
            <w:tcW w:w="863" w:type="dxa"/>
            <w:tcBorders>
              <w:top w:val="nil"/>
              <w:left w:val="single" w:sz="4" w:space="0" w:color="auto"/>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14.64%</w:t>
            </w:r>
          </w:p>
        </w:tc>
        <w:tc>
          <w:tcPr>
            <w:tcW w:w="863"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14%</w:t>
            </w:r>
          </w:p>
        </w:tc>
        <w:tc>
          <w:tcPr>
            <w:tcW w:w="863"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14%</w:t>
            </w:r>
          </w:p>
        </w:tc>
        <w:tc>
          <w:tcPr>
            <w:tcW w:w="863"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14%</w:t>
            </w:r>
          </w:p>
        </w:tc>
        <w:tc>
          <w:tcPr>
            <w:tcW w:w="863"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12.74%</w:t>
            </w:r>
          </w:p>
        </w:tc>
        <w:tc>
          <w:tcPr>
            <w:tcW w:w="863"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12.08%</w:t>
            </w:r>
          </w:p>
        </w:tc>
      </w:tr>
      <w:tr w:rsidR="009141CD" w:rsidRPr="00AE0294" w:rsidTr="009141CD">
        <w:trPr>
          <w:trHeight w:val="314"/>
        </w:trPr>
        <w:tc>
          <w:tcPr>
            <w:tcW w:w="444" w:type="dxa"/>
            <w:tcBorders>
              <w:top w:val="nil"/>
              <w:left w:val="single" w:sz="4" w:space="0" w:color="auto"/>
              <w:bottom w:val="single" w:sz="4" w:space="0" w:color="auto"/>
              <w:right w:val="single" w:sz="4" w:space="0" w:color="auto"/>
            </w:tcBorders>
            <w:shd w:val="clear" w:color="auto" w:fill="auto"/>
            <w:vAlign w:val="bottom"/>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6</w:t>
            </w:r>
          </w:p>
        </w:tc>
        <w:tc>
          <w:tcPr>
            <w:tcW w:w="1126" w:type="dxa"/>
            <w:tcBorders>
              <w:top w:val="nil"/>
              <w:left w:val="nil"/>
              <w:bottom w:val="single" w:sz="4" w:space="0" w:color="auto"/>
              <w:right w:val="single" w:sz="4" w:space="0" w:color="auto"/>
            </w:tcBorders>
            <w:shd w:val="clear" w:color="auto" w:fill="auto"/>
            <w:noWrap/>
            <w:vAlign w:val="bottom"/>
            <w:hideMark/>
          </w:tcPr>
          <w:p w:rsidR="009141CD" w:rsidRPr="00AE0294" w:rsidRDefault="009141CD" w:rsidP="009141CD">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Carrying Cost</w:t>
            </w:r>
          </w:p>
        </w:tc>
        <w:tc>
          <w:tcPr>
            <w:tcW w:w="823"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4</w:t>
            </w:r>
          </w:p>
        </w:tc>
        <w:tc>
          <w:tcPr>
            <w:tcW w:w="823"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5</w:t>
            </w:r>
          </w:p>
        </w:tc>
        <w:tc>
          <w:tcPr>
            <w:tcW w:w="863"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7</w:t>
            </w:r>
          </w:p>
        </w:tc>
        <w:tc>
          <w:tcPr>
            <w:tcW w:w="863"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9</w:t>
            </w:r>
          </w:p>
        </w:tc>
        <w:tc>
          <w:tcPr>
            <w:tcW w:w="863"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11</w:t>
            </w:r>
          </w:p>
        </w:tc>
        <w:tc>
          <w:tcPr>
            <w:tcW w:w="863"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14</w:t>
            </w:r>
          </w:p>
        </w:tc>
        <w:tc>
          <w:tcPr>
            <w:tcW w:w="863"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18</w:t>
            </w:r>
          </w:p>
        </w:tc>
        <w:tc>
          <w:tcPr>
            <w:tcW w:w="863"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20</w:t>
            </w:r>
          </w:p>
        </w:tc>
        <w:tc>
          <w:tcPr>
            <w:tcW w:w="863"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21</w:t>
            </w:r>
          </w:p>
        </w:tc>
      </w:tr>
      <w:tr w:rsidR="009141CD" w:rsidRPr="00AE0294" w:rsidTr="009141CD">
        <w:trPr>
          <w:trHeight w:val="314"/>
        </w:trPr>
        <w:tc>
          <w:tcPr>
            <w:tcW w:w="444" w:type="dxa"/>
            <w:tcBorders>
              <w:top w:val="nil"/>
              <w:left w:val="single" w:sz="4" w:space="0" w:color="auto"/>
              <w:bottom w:val="single" w:sz="4" w:space="0" w:color="auto"/>
              <w:right w:val="single" w:sz="4" w:space="0" w:color="auto"/>
            </w:tcBorders>
            <w:shd w:val="clear" w:color="auto" w:fill="auto"/>
            <w:vAlign w:val="bottom"/>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7</w:t>
            </w:r>
          </w:p>
        </w:tc>
        <w:tc>
          <w:tcPr>
            <w:tcW w:w="1126" w:type="dxa"/>
            <w:tcBorders>
              <w:top w:val="nil"/>
              <w:left w:val="nil"/>
              <w:bottom w:val="single" w:sz="4" w:space="0" w:color="auto"/>
              <w:right w:val="single" w:sz="4" w:space="0" w:color="auto"/>
            </w:tcBorders>
            <w:shd w:val="clear" w:color="auto" w:fill="auto"/>
            <w:noWrap/>
            <w:vAlign w:val="bottom"/>
            <w:hideMark/>
          </w:tcPr>
          <w:p w:rsidR="009141CD" w:rsidRPr="00AE0294" w:rsidRDefault="009141CD" w:rsidP="009141CD">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Grand Balance</w:t>
            </w:r>
          </w:p>
        </w:tc>
        <w:tc>
          <w:tcPr>
            <w:tcW w:w="823"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32</w:t>
            </w:r>
          </w:p>
        </w:tc>
        <w:tc>
          <w:tcPr>
            <w:tcW w:w="823"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41</w:t>
            </w:r>
          </w:p>
        </w:tc>
        <w:tc>
          <w:tcPr>
            <w:tcW w:w="863"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60</w:t>
            </w:r>
          </w:p>
        </w:tc>
        <w:tc>
          <w:tcPr>
            <w:tcW w:w="863"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79</w:t>
            </w:r>
          </w:p>
        </w:tc>
        <w:tc>
          <w:tcPr>
            <w:tcW w:w="863"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97</w:t>
            </w:r>
          </w:p>
        </w:tc>
        <w:tc>
          <w:tcPr>
            <w:tcW w:w="863"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120</w:t>
            </w:r>
          </w:p>
        </w:tc>
        <w:tc>
          <w:tcPr>
            <w:tcW w:w="863"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155</w:t>
            </w:r>
          </w:p>
        </w:tc>
        <w:tc>
          <w:tcPr>
            <w:tcW w:w="863"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175</w:t>
            </w:r>
          </w:p>
        </w:tc>
        <w:tc>
          <w:tcPr>
            <w:tcW w:w="863"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196</w:t>
            </w:r>
          </w:p>
        </w:tc>
      </w:tr>
    </w:tbl>
    <w:p w:rsidR="009141CD" w:rsidRPr="00AE0294" w:rsidRDefault="009141CD" w:rsidP="009141CD">
      <w:pPr>
        <w:pStyle w:val="ARRB11"/>
        <w:numPr>
          <w:ilvl w:val="0"/>
          <w:numId w:val="0"/>
        </w:numPr>
        <w:tabs>
          <w:tab w:val="clear" w:pos="1440"/>
        </w:tabs>
        <w:ind w:left="993"/>
        <w:rPr>
          <w:szCs w:val="24"/>
          <w:lang w:val="en-IN" w:bidi="te-IN"/>
        </w:rPr>
      </w:pPr>
      <w:bookmarkStart w:id="17" w:name="_Toc499821305"/>
    </w:p>
    <w:p w:rsidR="009141CD" w:rsidRPr="00AE0294" w:rsidRDefault="009141CD" w:rsidP="009141CD">
      <w:pPr>
        <w:pStyle w:val="ARRB11"/>
        <w:numPr>
          <w:ilvl w:val="1"/>
          <w:numId w:val="2"/>
        </w:numPr>
        <w:tabs>
          <w:tab w:val="clear" w:pos="1440"/>
        </w:tabs>
        <w:ind w:left="993" w:hanging="993"/>
        <w:rPr>
          <w:szCs w:val="24"/>
          <w:lang w:val="en-IN" w:bidi="te-IN"/>
        </w:rPr>
      </w:pPr>
      <w:r w:rsidRPr="00AE0294">
        <w:rPr>
          <w:szCs w:val="24"/>
          <w:lang w:val="en-IN" w:bidi="te-IN"/>
        </w:rPr>
        <w:t xml:space="preserve">The Petitioner requests the Hon’ble Commission to allow the aforesaid impact in the next </w:t>
      </w:r>
      <w:r w:rsidRPr="00AE0294">
        <w:rPr>
          <w:szCs w:val="24"/>
        </w:rPr>
        <w:t>Tariff Order</w:t>
      </w:r>
      <w:r w:rsidRPr="00AE0294">
        <w:rPr>
          <w:szCs w:val="24"/>
          <w:lang w:val="en-IN" w:bidi="te-IN"/>
        </w:rPr>
        <w:t>.</w:t>
      </w:r>
      <w:bookmarkEnd w:id="17"/>
    </w:p>
    <w:p w:rsidR="009141CD" w:rsidRPr="00AE0294" w:rsidRDefault="00FA38BE" w:rsidP="009141CD">
      <w:pPr>
        <w:pStyle w:val="ListParagraph"/>
        <w:spacing w:line="276" w:lineRule="auto"/>
        <w:ind w:left="993" w:hanging="1135"/>
        <w:rPr>
          <w:rFonts w:asciiTheme="minorHAnsi" w:hAnsiTheme="minorHAnsi" w:cstheme="minorHAnsi"/>
          <w:b/>
          <w:lang w:val="en-IN" w:bidi="te-IN"/>
        </w:rPr>
      </w:pPr>
      <w:r w:rsidRPr="00AE0294">
        <w:rPr>
          <w:rFonts w:asciiTheme="minorHAnsi" w:hAnsiTheme="minorHAnsi" w:cstheme="minorHAnsi"/>
          <w:b/>
        </w:rPr>
        <w:t>Issue -</w:t>
      </w:r>
      <w:r w:rsidR="007A3406" w:rsidRPr="00AE0294">
        <w:rPr>
          <w:rFonts w:asciiTheme="minorHAnsi" w:hAnsiTheme="minorHAnsi" w:cstheme="minorHAnsi"/>
          <w:b/>
        </w:rPr>
        <w:t>2</w:t>
      </w:r>
      <w:r w:rsidR="009141CD" w:rsidRPr="00AE0294">
        <w:rPr>
          <w:rFonts w:asciiTheme="minorHAnsi" w:hAnsiTheme="minorHAnsi" w:cstheme="minorHAnsi"/>
          <w:b/>
        </w:rPr>
        <w:t>.</w:t>
      </w:r>
      <w:r w:rsidR="0090154C" w:rsidRPr="00AE0294">
        <w:rPr>
          <w:rFonts w:asciiTheme="minorHAnsi" w:hAnsiTheme="minorHAnsi" w:cstheme="minorHAnsi"/>
          <w:b/>
        </w:rPr>
        <w:t>4</w:t>
      </w:r>
      <w:r w:rsidR="009141CD" w:rsidRPr="00AE0294">
        <w:rPr>
          <w:rFonts w:asciiTheme="minorHAnsi" w:hAnsiTheme="minorHAnsi" w:cstheme="minorHAnsi"/>
          <w:b/>
        </w:rPr>
        <w:t>:</w:t>
      </w:r>
      <w:r w:rsidR="00963F80" w:rsidRPr="00AE0294">
        <w:rPr>
          <w:rFonts w:asciiTheme="minorHAnsi" w:hAnsiTheme="minorHAnsi" w:cstheme="minorHAnsi"/>
          <w:b/>
        </w:rPr>
        <w:t xml:space="preserve"> </w:t>
      </w:r>
      <w:r w:rsidR="00763BE1" w:rsidRPr="00AE0294">
        <w:rPr>
          <w:rFonts w:asciiTheme="minorHAnsi" w:hAnsiTheme="minorHAnsi" w:cstheme="minorHAnsi"/>
          <w:b/>
          <w:lang w:val="en-IN" w:bidi="te-IN"/>
        </w:rPr>
        <w:t>I</w:t>
      </w:r>
      <w:r w:rsidR="00BB5234" w:rsidRPr="00AE0294">
        <w:rPr>
          <w:rFonts w:asciiTheme="minorHAnsi" w:hAnsiTheme="minorHAnsi" w:cstheme="minorHAnsi"/>
          <w:b/>
          <w:lang w:val="en-IN" w:bidi="te-IN"/>
        </w:rPr>
        <w:t>mpac</w:t>
      </w:r>
      <w:r w:rsidR="00763BE1" w:rsidRPr="00AE0294">
        <w:rPr>
          <w:rFonts w:asciiTheme="minorHAnsi" w:hAnsiTheme="minorHAnsi" w:cstheme="minorHAnsi"/>
          <w:b/>
          <w:lang w:val="en-IN" w:bidi="te-IN"/>
        </w:rPr>
        <w:t xml:space="preserve">t of </w:t>
      </w:r>
      <w:r w:rsidR="00CB30ED" w:rsidRPr="00AE0294">
        <w:rPr>
          <w:rFonts w:asciiTheme="minorHAnsi" w:hAnsiTheme="minorHAnsi" w:cstheme="minorHAnsi"/>
          <w:b/>
          <w:lang w:val="en-IN" w:bidi="te-IN"/>
        </w:rPr>
        <w:t>issues allowed by Hon’ble Commission in Review Order</w:t>
      </w:r>
      <w:r w:rsidR="009141CD" w:rsidRPr="00AE0294">
        <w:rPr>
          <w:rFonts w:asciiTheme="minorHAnsi" w:hAnsiTheme="minorHAnsi" w:cstheme="minorHAnsi"/>
          <w:b/>
          <w:lang w:val="en-IN" w:bidi="te-IN"/>
        </w:rPr>
        <w:t xml:space="preserve"> </w:t>
      </w:r>
      <w:r w:rsidR="00F01AE4" w:rsidRPr="00AE0294">
        <w:rPr>
          <w:rFonts w:asciiTheme="minorHAnsi" w:hAnsiTheme="minorHAnsi" w:cstheme="minorHAnsi"/>
          <w:b/>
          <w:lang w:val="en-IN" w:bidi="te-IN"/>
        </w:rPr>
        <w:t xml:space="preserve">dated </w:t>
      </w:r>
      <w:r w:rsidR="00C9257B" w:rsidRPr="00AE0294">
        <w:rPr>
          <w:rFonts w:asciiTheme="minorHAnsi" w:hAnsiTheme="minorHAnsi" w:cstheme="minorHAnsi"/>
          <w:b/>
          <w:lang w:val="en-IN" w:bidi="te-IN"/>
        </w:rPr>
        <w:t>09.09.2022</w:t>
      </w:r>
    </w:p>
    <w:p w:rsidR="00B856B1" w:rsidRPr="00AE0294" w:rsidRDefault="00B856B1" w:rsidP="007D37C9">
      <w:pPr>
        <w:pStyle w:val="ARRB11"/>
        <w:numPr>
          <w:ilvl w:val="1"/>
          <w:numId w:val="2"/>
        </w:numPr>
        <w:tabs>
          <w:tab w:val="clear" w:pos="1440"/>
        </w:tabs>
        <w:ind w:left="993" w:hanging="993"/>
        <w:rPr>
          <w:szCs w:val="24"/>
        </w:rPr>
      </w:pPr>
      <w:r w:rsidRPr="00AE0294">
        <w:rPr>
          <w:szCs w:val="24"/>
        </w:rPr>
        <w:t xml:space="preserve">This issue has been allowed by the Hon’ble Commission in Order dated </w:t>
      </w:r>
      <w:r w:rsidR="00D76E0C" w:rsidRPr="00AE0294">
        <w:rPr>
          <w:szCs w:val="24"/>
        </w:rPr>
        <w:t>09.09.2022</w:t>
      </w:r>
      <w:r w:rsidRPr="00AE0294">
        <w:rPr>
          <w:szCs w:val="24"/>
        </w:rPr>
        <w:t xml:space="preserve"> passed in Petition No. </w:t>
      </w:r>
      <w:r w:rsidR="00D76E0C" w:rsidRPr="00AE0294">
        <w:rPr>
          <w:szCs w:val="24"/>
        </w:rPr>
        <w:t>61 of 2021</w:t>
      </w:r>
      <w:r w:rsidRPr="00AE0294">
        <w:rPr>
          <w:szCs w:val="24"/>
        </w:rPr>
        <w:t xml:space="preserve"> and is yet to implemented in letter and spirit.</w:t>
      </w:r>
    </w:p>
    <w:p w:rsidR="009141CD" w:rsidRPr="00AE0294" w:rsidRDefault="009141CD" w:rsidP="007D37C9">
      <w:pPr>
        <w:pStyle w:val="ARRB11"/>
        <w:numPr>
          <w:ilvl w:val="1"/>
          <w:numId w:val="2"/>
        </w:numPr>
        <w:tabs>
          <w:tab w:val="clear" w:pos="1440"/>
        </w:tabs>
        <w:ind w:left="993" w:hanging="993"/>
        <w:rPr>
          <w:szCs w:val="24"/>
        </w:rPr>
      </w:pPr>
      <w:r w:rsidRPr="00AE0294">
        <w:rPr>
          <w:szCs w:val="24"/>
        </w:rPr>
        <w:t xml:space="preserve">On 02.12.2021, the Petitioner had filed a Petition seeking review / revision/ clarification of the Tariff Order dated </w:t>
      </w:r>
      <w:r w:rsidR="00D76E0C" w:rsidRPr="00AE0294">
        <w:rPr>
          <w:szCs w:val="24"/>
        </w:rPr>
        <w:t>30.09.2021.</w:t>
      </w:r>
    </w:p>
    <w:p w:rsidR="009141CD" w:rsidRPr="00AE0294" w:rsidRDefault="009141CD" w:rsidP="007D37C9">
      <w:pPr>
        <w:pStyle w:val="ARRB11"/>
        <w:numPr>
          <w:ilvl w:val="1"/>
          <w:numId w:val="2"/>
        </w:numPr>
        <w:tabs>
          <w:tab w:val="clear" w:pos="1440"/>
        </w:tabs>
        <w:ind w:left="993" w:hanging="993"/>
        <w:rPr>
          <w:szCs w:val="24"/>
        </w:rPr>
      </w:pPr>
      <w:r w:rsidRPr="00AE0294">
        <w:rPr>
          <w:szCs w:val="24"/>
        </w:rPr>
        <w:t xml:space="preserve">The Hon’ble Commission vide Order dated 09.09.2022 has disposed off the above Review Petition and allowed </w:t>
      </w:r>
      <w:r w:rsidR="00D76E0C" w:rsidRPr="00AE0294">
        <w:rPr>
          <w:szCs w:val="24"/>
        </w:rPr>
        <w:t>the following two issues:</w:t>
      </w:r>
      <w:r w:rsidRPr="00AE0294">
        <w:rPr>
          <w:szCs w:val="24"/>
        </w:rPr>
        <w:t xml:space="preserve"> </w:t>
      </w:r>
    </w:p>
    <w:p w:rsidR="009141CD" w:rsidRPr="00AE0294" w:rsidRDefault="009141CD" w:rsidP="007D37C9">
      <w:pPr>
        <w:pStyle w:val="ARRB11"/>
        <w:numPr>
          <w:ilvl w:val="0"/>
          <w:numId w:val="24"/>
        </w:numPr>
        <w:rPr>
          <w:szCs w:val="24"/>
        </w:rPr>
      </w:pPr>
      <w:r w:rsidRPr="00AE0294">
        <w:rPr>
          <w:szCs w:val="24"/>
        </w:rPr>
        <w:t>Inadvertent error in considering Net Metering units in Energy input for FY 2019-20.</w:t>
      </w:r>
    </w:p>
    <w:p w:rsidR="009141CD" w:rsidRPr="00AE0294" w:rsidRDefault="009141CD" w:rsidP="007D37C9">
      <w:pPr>
        <w:pStyle w:val="ARRB11"/>
        <w:numPr>
          <w:ilvl w:val="0"/>
          <w:numId w:val="24"/>
        </w:numPr>
        <w:rPr>
          <w:szCs w:val="24"/>
        </w:rPr>
      </w:pPr>
      <w:r w:rsidRPr="00AE0294">
        <w:rPr>
          <w:szCs w:val="24"/>
        </w:rPr>
        <w:t>Inadvertent omission to allow capitalization of Rs. 0.06 Cr. For FY 2017-18 on account of EIC.</w:t>
      </w:r>
    </w:p>
    <w:p w:rsidR="002103AF" w:rsidRPr="00AE0294" w:rsidRDefault="002103AF" w:rsidP="007D37C9">
      <w:pPr>
        <w:pStyle w:val="ARRB11"/>
        <w:numPr>
          <w:ilvl w:val="1"/>
          <w:numId w:val="2"/>
        </w:numPr>
        <w:tabs>
          <w:tab w:val="clear" w:pos="1440"/>
        </w:tabs>
        <w:ind w:left="993" w:hanging="993"/>
        <w:rPr>
          <w:szCs w:val="24"/>
          <w:lang w:val="en-IN"/>
        </w:rPr>
      </w:pPr>
      <w:r w:rsidRPr="00AE0294">
        <w:rPr>
          <w:szCs w:val="24"/>
        </w:rPr>
        <w:t>The financial impact on account of the</w:t>
      </w:r>
      <w:r w:rsidR="00763BE1" w:rsidRPr="00AE0294">
        <w:rPr>
          <w:szCs w:val="24"/>
        </w:rPr>
        <w:t>se</w:t>
      </w:r>
      <w:r w:rsidRPr="00AE0294">
        <w:rPr>
          <w:szCs w:val="24"/>
        </w:rPr>
        <w:t xml:space="preserve"> issues related to Review Petitions (including carrying cost upto FY 2020-21) </w:t>
      </w:r>
    </w:p>
    <w:p w:rsidR="008E7DC2" w:rsidRDefault="008E7DC2" w:rsidP="007D37C9">
      <w:pPr>
        <w:pStyle w:val="ARRB11"/>
        <w:numPr>
          <w:ilvl w:val="1"/>
          <w:numId w:val="2"/>
        </w:numPr>
        <w:tabs>
          <w:tab w:val="clear" w:pos="1440"/>
        </w:tabs>
        <w:ind w:left="993" w:hanging="993"/>
        <w:rPr>
          <w:szCs w:val="24"/>
          <w:lang w:val="en-IN" w:bidi="te-IN"/>
        </w:rPr>
      </w:pPr>
      <w:r w:rsidRPr="00AE0294">
        <w:rPr>
          <w:szCs w:val="24"/>
          <w:lang w:val="en-IN" w:bidi="te-IN"/>
        </w:rPr>
        <w:t xml:space="preserve">The </w:t>
      </w:r>
      <w:r w:rsidR="00845D9D" w:rsidRPr="00AE0294">
        <w:rPr>
          <w:szCs w:val="24"/>
          <w:lang w:val="en-IN" w:bidi="te-IN"/>
        </w:rPr>
        <w:t xml:space="preserve">Financial </w:t>
      </w:r>
      <w:r w:rsidRPr="00AE0294">
        <w:rPr>
          <w:szCs w:val="24"/>
          <w:lang w:val="en-IN" w:bidi="te-IN"/>
        </w:rPr>
        <w:t>impact of these issues along with carrying cost is tabulated as under:</w:t>
      </w:r>
    </w:p>
    <w:p w:rsidR="005459BF" w:rsidRPr="00AE0294" w:rsidRDefault="005459BF" w:rsidP="005459BF">
      <w:pPr>
        <w:pStyle w:val="Caption"/>
        <w:ind w:left="644"/>
        <w:jc w:val="center"/>
        <w:rPr>
          <w:rFonts w:cstheme="minorHAnsi"/>
          <w:b/>
          <w:i w:val="0"/>
          <w:color w:val="000000" w:themeColor="text1"/>
          <w:sz w:val="24"/>
          <w:szCs w:val="24"/>
          <w:lang w:bidi="te-IN"/>
        </w:rPr>
      </w:pPr>
      <w:bookmarkStart w:id="18" w:name="_Toc120734116"/>
      <w:r w:rsidRPr="00AE0294">
        <w:rPr>
          <w:rFonts w:cstheme="minorHAnsi"/>
          <w:b/>
          <w:i w:val="0"/>
          <w:color w:val="000000" w:themeColor="text1"/>
          <w:sz w:val="24"/>
          <w:szCs w:val="24"/>
        </w:rPr>
        <w:t xml:space="preserve">Table 3B </w:t>
      </w:r>
      <w:r w:rsidRPr="00AE0294">
        <w:rPr>
          <w:rFonts w:cstheme="minorHAnsi"/>
          <w:b/>
          <w:i w:val="0"/>
          <w:color w:val="000000" w:themeColor="text1"/>
          <w:sz w:val="24"/>
          <w:szCs w:val="24"/>
        </w:rPr>
        <w:fldChar w:fldCharType="begin"/>
      </w:r>
      <w:r w:rsidRPr="00AE0294">
        <w:rPr>
          <w:rFonts w:cstheme="minorHAnsi"/>
          <w:b/>
          <w:i w:val="0"/>
          <w:color w:val="000000" w:themeColor="text1"/>
          <w:sz w:val="24"/>
          <w:szCs w:val="24"/>
        </w:rPr>
        <w:instrText xml:space="preserve"> SEQ Table_3B \* ARABIC </w:instrText>
      </w:r>
      <w:r w:rsidRPr="00AE0294">
        <w:rPr>
          <w:rFonts w:cstheme="minorHAnsi"/>
          <w:b/>
          <w:i w:val="0"/>
          <w:color w:val="000000" w:themeColor="text1"/>
          <w:sz w:val="24"/>
          <w:szCs w:val="24"/>
        </w:rPr>
        <w:fldChar w:fldCharType="separate"/>
      </w:r>
      <w:r w:rsidR="006D2E03">
        <w:rPr>
          <w:rFonts w:cstheme="minorHAnsi"/>
          <w:b/>
          <w:i w:val="0"/>
          <w:noProof/>
          <w:color w:val="000000" w:themeColor="text1"/>
          <w:sz w:val="24"/>
          <w:szCs w:val="24"/>
        </w:rPr>
        <w:t>8</w:t>
      </w:r>
      <w:r w:rsidRPr="00AE0294">
        <w:rPr>
          <w:rFonts w:cstheme="minorHAnsi"/>
          <w:b/>
          <w:i w:val="0"/>
          <w:color w:val="000000" w:themeColor="text1"/>
          <w:sz w:val="24"/>
          <w:szCs w:val="24"/>
        </w:rPr>
        <w:fldChar w:fldCharType="end"/>
      </w:r>
      <w:r w:rsidRPr="00AE0294">
        <w:rPr>
          <w:rFonts w:cstheme="minorHAnsi"/>
          <w:b/>
          <w:i w:val="0"/>
          <w:color w:val="000000" w:themeColor="text1"/>
          <w:sz w:val="24"/>
          <w:szCs w:val="24"/>
        </w:rPr>
        <w:t xml:space="preserve">: </w:t>
      </w:r>
      <w:r>
        <w:rPr>
          <w:rFonts w:cstheme="minorHAnsi"/>
          <w:b/>
          <w:i w:val="0"/>
          <w:color w:val="000000" w:themeColor="text1"/>
          <w:sz w:val="24"/>
          <w:szCs w:val="24"/>
        </w:rPr>
        <w:t xml:space="preserve">Financial </w:t>
      </w:r>
      <w:r w:rsidRPr="00AE0294">
        <w:rPr>
          <w:rStyle w:val="Heading2Char"/>
          <w:rFonts w:asciiTheme="minorHAnsi" w:eastAsiaTheme="minorHAnsi" w:hAnsiTheme="minorHAnsi" w:cstheme="minorHAnsi"/>
          <w:i w:val="0"/>
          <w:color w:val="000000" w:themeColor="text1"/>
          <w:sz w:val="24"/>
          <w:szCs w:val="24"/>
        </w:rPr>
        <w:t xml:space="preserve">Impact </w:t>
      </w:r>
      <w:r>
        <w:rPr>
          <w:rStyle w:val="Heading2Char"/>
          <w:rFonts w:asciiTheme="minorHAnsi" w:eastAsiaTheme="minorHAnsi" w:hAnsiTheme="minorHAnsi" w:cstheme="minorHAnsi"/>
          <w:i w:val="0"/>
          <w:color w:val="000000" w:themeColor="text1"/>
          <w:sz w:val="24"/>
          <w:szCs w:val="24"/>
        </w:rPr>
        <w:t xml:space="preserve">of issues allowed in Review Order dated 09.09.2022 </w:t>
      </w:r>
      <w:r w:rsidRPr="00AE0294">
        <w:rPr>
          <w:rStyle w:val="Heading2Char"/>
          <w:rFonts w:asciiTheme="minorHAnsi" w:eastAsiaTheme="minorHAnsi" w:hAnsiTheme="minorHAnsi" w:cstheme="minorHAnsi"/>
          <w:i w:val="0"/>
          <w:color w:val="000000" w:themeColor="text1"/>
          <w:sz w:val="24"/>
          <w:szCs w:val="24"/>
        </w:rPr>
        <w:t>along with carrying cost (₹ Crore)</w:t>
      </w:r>
      <w:bookmarkEnd w:id="18"/>
    </w:p>
    <w:tbl>
      <w:tblPr>
        <w:tblW w:w="7229" w:type="dxa"/>
        <w:tblInd w:w="988" w:type="dxa"/>
        <w:tblLook w:val="04A0" w:firstRow="1" w:lastRow="0" w:firstColumn="1" w:lastColumn="0" w:noHBand="0" w:noVBand="1"/>
      </w:tblPr>
      <w:tblGrid>
        <w:gridCol w:w="567"/>
        <w:gridCol w:w="3260"/>
        <w:gridCol w:w="1120"/>
        <w:gridCol w:w="1120"/>
        <w:gridCol w:w="1162"/>
      </w:tblGrid>
      <w:tr w:rsidR="008F05A8" w:rsidRPr="008F05A8" w:rsidTr="00F23AC5">
        <w:trPr>
          <w:trHeight w:val="300"/>
          <w:tblHeader/>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8F05A8" w:rsidRPr="00AE0294" w:rsidRDefault="008F05A8" w:rsidP="001043F2">
            <w:pPr>
              <w:spacing w:after="0" w:line="240" w:lineRule="auto"/>
              <w:contextualSpacing/>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S. No</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05A8" w:rsidRPr="008F05A8" w:rsidRDefault="008F05A8" w:rsidP="001043F2">
            <w:pPr>
              <w:spacing w:after="0" w:line="240" w:lineRule="auto"/>
              <w:contextualSpacing/>
              <w:jc w:val="center"/>
              <w:rPr>
                <w:rFonts w:ascii="Calibri" w:eastAsia="Times New Roman" w:hAnsi="Calibri" w:cs="Calibri"/>
                <w:b/>
                <w:bCs/>
                <w:color w:val="000000"/>
                <w:lang w:eastAsia="en-IN"/>
              </w:rPr>
            </w:pPr>
            <w:r w:rsidRPr="008F05A8">
              <w:rPr>
                <w:rFonts w:ascii="Calibri" w:eastAsia="Times New Roman" w:hAnsi="Calibri" w:cs="Calibri"/>
                <w:b/>
                <w:bCs/>
                <w:color w:val="000000"/>
                <w:lang w:eastAsia="en-IN"/>
              </w:rPr>
              <w:t>Particulars</w:t>
            </w:r>
          </w:p>
        </w:tc>
        <w:tc>
          <w:tcPr>
            <w:tcW w:w="1120" w:type="dxa"/>
            <w:tcBorders>
              <w:top w:val="single" w:sz="4" w:space="0" w:color="auto"/>
              <w:left w:val="nil"/>
              <w:bottom w:val="single" w:sz="4" w:space="0" w:color="auto"/>
              <w:right w:val="single" w:sz="4" w:space="0" w:color="auto"/>
            </w:tcBorders>
            <w:shd w:val="clear" w:color="000000" w:fill="FFFFFF"/>
            <w:vAlign w:val="center"/>
            <w:hideMark/>
          </w:tcPr>
          <w:p w:rsidR="008F05A8" w:rsidRPr="008F05A8" w:rsidRDefault="008F05A8" w:rsidP="001043F2">
            <w:pPr>
              <w:spacing w:after="0" w:line="240" w:lineRule="auto"/>
              <w:contextualSpacing/>
              <w:jc w:val="center"/>
              <w:rPr>
                <w:rFonts w:ascii="Calibri" w:eastAsia="Times New Roman" w:hAnsi="Calibri" w:cs="Calibri"/>
                <w:b/>
                <w:bCs/>
                <w:color w:val="000000"/>
                <w:lang w:eastAsia="en-IN"/>
              </w:rPr>
            </w:pPr>
            <w:r w:rsidRPr="008F05A8">
              <w:rPr>
                <w:rFonts w:ascii="Calibri" w:eastAsia="Times New Roman" w:hAnsi="Calibri" w:cs="Calibri"/>
                <w:b/>
                <w:bCs/>
                <w:color w:val="000000"/>
                <w:lang w:eastAsia="en-IN"/>
              </w:rPr>
              <w:t>FY 20</w:t>
            </w:r>
          </w:p>
        </w:tc>
        <w:tc>
          <w:tcPr>
            <w:tcW w:w="1120" w:type="dxa"/>
            <w:tcBorders>
              <w:top w:val="single" w:sz="4" w:space="0" w:color="auto"/>
              <w:left w:val="nil"/>
              <w:bottom w:val="single" w:sz="4" w:space="0" w:color="auto"/>
              <w:right w:val="single" w:sz="4" w:space="0" w:color="auto"/>
            </w:tcBorders>
            <w:shd w:val="clear" w:color="000000" w:fill="FFFFFF"/>
            <w:vAlign w:val="center"/>
            <w:hideMark/>
          </w:tcPr>
          <w:p w:rsidR="008F05A8" w:rsidRPr="008F05A8" w:rsidRDefault="008F05A8" w:rsidP="001043F2">
            <w:pPr>
              <w:spacing w:after="0" w:line="240" w:lineRule="auto"/>
              <w:contextualSpacing/>
              <w:jc w:val="center"/>
              <w:rPr>
                <w:rFonts w:ascii="Calibri" w:eastAsia="Times New Roman" w:hAnsi="Calibri" w:cs="Calibri"/>
                <w:b/>
                <w:bCs/>
                <w:color w:val="000000"/>
                <w:lang w:eastAsia="en-IN"/>
              </w:rPr>
            </w:pPr>
            <w:r w:rsidRPr="008F05A8">
              <w:rPr>
                <w:rFonts w:ascii="Calibri" w:eastAsia="Times New Roman" w:hAnsi="Calibri" w:cs="Calibri"/>
                <w:b/>
                <w:bCs/>
                <w:color w:val="000000"/>
                <w:lang w:eastAsia="en-IN"/>
              </w:rPr>
              <w:t>FY 21</w:t>
            </w:r>
          </w:p>
        </w:tc>
        <w:tc>
          <w:tcPr>
            <w:tcW w:w="1162" w:type="dxa"/>
            <w:tcBorders>
              <w:top w:val="single" w:sz="4" w:space="0" w:color="auto"/>
              <w:left w:val="nil"/>
              <w:bottom w:val="single" w:sz="4" w:space="0" w:color="auto"/>
              <w:right w:val="single" w:sz="4" w:space="0" w:color="auto"/>
            </w:tcBorders>
            <w:shd w:val="clear" w:color="000000" w:fill="FFFFFF"/>
            <w:vAlign w:val="center"/>
            <w:hideMark/>
          </w:tcPr>
          <w:p w:rsidR="008F05A8" w:rsidRPr="008F05A8" w:rsidRDefault="008F05A8" w:rsidP="001043F2">
            <w:pPr>
              <w:spacing w:after="0" w:line="240" w:lineRule="auto"/>
              <w:contextualSpacing/>
              <w:jc w:val="center"/>
              <w:rPr>
                <w:rFonts w:ascii="Calibri" w:eastAsia="Times New Roman" w:hAnsi="Calibri" w:cs="Calibri"/>
                <w:b/>
                <w:bCs/>
                <w:color w:val="000000"/>
                <w:lang w:eastAsia="en-IN"/>
              </w:rPr>
            </w:pPr>
            <w:r w:rsidRPr="008F05A8">
              <w:rPr>
                <w:rFonts w:ascii="Calibri" w:eastAsia="Times New Roman" w:hAnsi="Calibri" w:cs="Calibri"/>
                <w:b/>
                <w:bCs/>
                <w:color w:val="000000"/>
                <w:lang w:eastAsia="en-IN"/>
              </w:rPr>
              <w:t>FY 22</w:t>
            </w:r>
          </w:p>
        </w:tc>
      </w:tr>
      <w:tr w:rsidR="001043F2" w:rsidRPr="008F05A8" w:rsidTr="00F23AC5">
        <w:trPr>
          <w:trHeight w:val="300"/>
        </w:trPr>
        <w:tc>
          <w:tcPr>
            <w:tcW w:w="567" w:type="dxa"/>
            <w:tcBorders>
              <w:top w:val="nil"/>
              <w:left w:val="single" w:sz="4" w:space="0" w:color="auto"/>
              <w:bottom w:val="single" w:sz="4" w:space="0" w:color="auto"/>
              <w:right w:val="single" w:sz="4" w:space="0" w:color="auto"/>
            </w:tcBorders>
            <w:shd w:val="clear" w:color="000000" w:fill="FFFFFF"/>
            <w:vAlign w:val="bottom"/>
          </w:tcPr>
          <w:p w:rsidR="001043F2" w:rsidRPr="00AE0294" w:rsidRDefault="001043F2" w:rsidP="001043F2">
            <w:pPr>
              <w:spacing w:after="0" w:line="240" w:lineRule="auto"/>
              <w:contextualSpacing/>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w:t>
            </w:r>
          </w:p>
        </w:tc>
        <w:tc>
          <w:tcPr>
            <w:tcW w:w="3260" w:type="dxa"/>
            <w:tcBorders>
              <w:top w:val="nil"/>
              <w:left w:val="single" w:sz="4" w:space="0" w:color="auto"/>
              <w:bottom w:val="single" w:sz="4" w:space="0" w:color="auto"/>
              <w:right w:val="single" w:sz="4" w:space="0" w:color="auto"/>
            </w:tcBorders>
            <w:shd w:val="clear" w:color="000000" w:fill="FFFFFF"/>
            <w:noWrap/>
            <w:vAlign w:val="bottom"/>
            <w:hideMark/>
          </w:tcPr>
          <w:p w:rsidR="001043F2" w:rsidRPr="00AE0294" w:rsidRDefault="001043F2" w:rsidP="001043F2">
            <w:pPr>
              <w:spacing w:after="0" w:line="240" w:lineRule="auto"/>
              <w:contextualSpacing/>
              <w:rPr>
                <w:rFonts w:eastAsia="Times New Roman" w:cstheme="minorHAnsi"/>
                <w:color w:val="000000"/>
                <w:sz w:val="24"/>
                <w:szCs w:val="24"/>
                <w:lang w:eastAsia="en-IN"/>
              </w:rPr>
            </w:pPr>
            <w:r w:rsidRPr="00AE0294">
              <w:rPr>
                <w:rFonts w:eastAsia="Times New Roman" w:cstheme="minorHAnsi"/>
                <w:color w:val="000000"/>
                <w:sz w:val="24"/>
                <w:szCs w:val="24"/>
                <w:lang w:eastAsia="en-IN"/>
              </w:rPr>
              <w:t>Opening Balance</w:t>
            </w:r>
          </w:p>
        </w:tc>
        <w:tc>
          <w:tcPr>
            <w:tcW w:w="1120" w:type="dxa"/>
            <w:tcBorders>
              <w:top w:val="nil"/>
              <w:left w:val="nil"/>
              <w:bottom w:val="single" w:sz="4" w:space="0" w:color="auto"/>
              <w:right w:val="single" w:sz="4" w:space="0" w:color="auto"/>
            </w:tcBorders>
            <w:shd w:val="clear" w:color="000000" w:fill="FFFFFF"/>
            <w:noWrap/>
            <w:vAlign w:val="center"/>
            <w:hideMark/>
          </w:tcPr>
          <w:p w:rsidR="001043F2" w:rsidRDefault="001043F2" w:rsidP="005459BF">
            <w:pPr>
              <w:spacing w:after="0" w:line="240" w:lineRule="auto"/>
              <w:contextualSpacing/>
              <w:jc w:val="center"/>
              <w:rPr>
                <w:rFonts w:ascii="Calibri" w:hAnsi="Calibri" w:cs="Calibri"/>
                <w:color w:val="000000"/>
              </w:rPr>
            </w:pPr>
            <w:r>
              <w:rPr>
                <w:rFonts w:ascii="Calibri" w:hAnsi="Calibri" w:cs="Calibri"/>
                <w:color w:val="000000"/>
              </w:rPr>
              <w:t>-</w:t>
            </w:r>
          </w:p>
        </w:tc>
        <w:tc>
          <w:tcPr>
            <w:tcW w:w="1120" w:type="dxa"/>
            <w:tcBorders>
              <w:top w:val="nil"/>
              <w:left w:val="nil"/>
              <w:bottom w:val="single" w:sz="4" w:space="0" w:color="auto"/>
              <w:right w:val="single" w:sz="4" w:space="0" w:color="auto"/>
            </w:tcBorders>
            <w:shd w:val="clear" w:color="000000" w:fill="FFFFFF"/>
            <w:noWrap/>
            <w:vAlign w:val="center"/>
            <w:hideMark/>
          </w:tcPr>
          <w:p w:rsidR="001043F2" w:rsidRDefault="001043F2" w:rsidP="005459BF">
            <w:pPr>
              <w:spacing w:after="0" w:line="240" w:lineRule="auto"/>
              <w:contextualSpacing/>
              <w:jc w:val="center"/>
              <w:rPr>
                <w:rFonts w:ascii="Calibri" w:hAnsi="Calibri" w:cs="Calibri"/>
                <w:color w:val="000000"/>
              </w:rPr>
            </w:pPr>
            <w:r>
              <w:rPr>
                <w:rFonts w:ascii="Calibri" w:hAnsi="Calibri" w:cs="Calibri"/>
                <w:color w:val="000000"/>
              </w:rPr>
              <w:t>1.0</w:t>
            </w:r>
          </w:p>
        </w:tc>
        <w:tc>
          <w:tcPr>
            <w:tcW w:w="1162" w:type="dxa"/>
            <w:tcBorders>
              <w:top w:val="nil"/>
              <w:left w:val="nil"/>
              <w:bottom w:val="single" w:sz="4" w:space="0" w:color="auto"/>
              <w:right w:val="single" w:sz="4" w:space="0" w:color="auto"/>
            </w:tcBorders>
            <w:shd w:val="clear" w:color="000000" w:fill="FFFFFF"/>
            <w:noWrap/>
            <w:vAlign w:val="center"/>
            <w:hideMark/>
          </w:tcPr>
          <w:p w:rsidR="001043F2" w:rsidRDefault="001043F2" w:rsidP="005459BF">
            <w:pPr>
              <w:spacing w:after="0" w:line="240" w:lineRule="auto"/>
              <w:contextualSpacing/>
              <w:jc w:val="center"/>
              <w:rPr>
                <w:rFonts w:ascii="Calibri" w:hAnsi="Calibri" w:cs="Calibri"/>
                <w:color w:val="000000"/>
              </w:rPr>
            </w:pPr>
            <w:r>
              <w:rPr>
                <w:rFonts w:ascii="Calibri" w:hAnsi="Calibri" w:cs="Calibri"/>
                <w:color w:val="000000"/>
              </w:rPr>
              <w:t>1.1</w:t>
            </w:r>
          </w:p>
        </w:tc>
      </w:tr>
      <w:tr w:rsidR="001043F2" w:rsidRPr="008F05A8" w:rsidTr="00F23AC5">
        <w:trPr>
          <w:trHeight w:val="300"/>
        </w:trPr>
        <w:tc>
          <w:tcPr>
            <w:tcW w:w="567" w:type="dxa"/>
            <w:tcBorders>
              <w:top w:val="nil"/>
              <w:left w:val="single" w:sz="4" w:space="0" w:color="auto"/>
              <w:bottom w:val="single" w:sz="4" w:space="0" w:color="auto"/>
              <w:right w:val="single" w:sz="4" w:space="0" w:color="auto"/>
            </w:tcBorders>
            <w:shd w:val="clear" w:color="000000" w:fill="FFFFFF"/>
            <w:vAlign w:val="bottom"/>
          </w:tcPr>
          <w:p w:rsidR="001043F2" w:rsidRPr="00AE0294" w:rsidRDefault="001043F2" w:rsidP="001043F2">
            <w:pPr>
              <w:spacing w:after="0" w:line="240" w:lineRule="auto"/>
              <w:contextualSpacing/>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2</w:t>
            </w:r>
          </w:p>
        </w:tc>
        <w:tc>
          <w:tcPr>
            <w:tcW w:w="3260" w:type="dxa"/>
            <w:tcBorders>
              <w:top w:val="nil"/>
              <w:left w:val="single" w:sz="4" w:space="0" w:color="auto"/>
              <w:bottom w:val="single" w:sz="4" w:space="0" w:color="auto"/>
              <w:right w:val="single" w:sz="4" w:space="0" w:color="auto"/>
            </w:tcBorders>
            <w:shd w:val="clear" w:color="000000" w:fill="FFFFFF"/>
            <w:noWrap/>
            <w:vAlign w:val="bottom"/>
            <w:hideMark/>
          </w:tcPr>
          <w:p w:rsidR="001043F2" w:rsidRPr="00AE0294" w:rsidRDefault="001043F2" w:rsidP="001043F2">
            <w:pPr>
              <w:spacing w:after="0" w:line="240" w:lineRule="auto"/>
              <w:contextualSpacing/>
              <w:rPr>
                <w:rFonts w:eastAsia="Times New Roman" w:cstheme="minorHAnsi"/>
                <w:color w:val="000000"/>
                <w:sz w:val="24"/>
                <w:szCs w:val="24"/>
                <w:lang w:eastAsia="en-IN"/>
              </w:rPr>
            </w:pPr>
            <w:r w:rsidRPr="00AE0294">
              <w:rPr>
                <w:rFonts w:eastAsia="Times New Roman" w:cstheme="minorHAnsi"/>
                <w:color w:val="000000"/>
                <w:sz w:val="24"/>
                <w:szCs w:val="24"/>
                <w:lang w:eastAsia="en-IN"/>
              </w:rPr>
              <w:t>Additions</w:t>
            </w:r>
            <w:r w:rsidR="00F23AC5">
              <w:rPr>
                <w:rFonts w:eastAsia="Times New Roman" w:cstheme="minorHAnsi"/>
                <w:color w:val="000000"/>
                <w:sz w:val="24"/>
                <w:szCs w:val="24"/>
                <w:lang w:eastAsia="en-IN"/>
              </w:rPr>
              <w:t xml:space="preserve"> (i+ii)</w:t>
            </w:r>
          </w:p>
        </w:tc>
        <w:tc>
          <w:tcPr>
            <w:tcW w:w="1120" w:type="dxa"/>
            <w:tcBorders>
              <w:top w:val="nil"/>
              <w:left w:val="nil"/>
              <w:bottom w:val="single" w:sz="4" w:space="0" w:color="auto"/>
              <w:right w:val="single" w:sz="4" w:space="0" w:color="auto"/>
            </w:tcBorders>
            <w:shd w:val="clear" w:color="000000" w:fill="FFFFFF"/>
            <w:noWrap/>
            <w:vAlign w:val="center"/>
            <w:hideMark/>
          </w:tcPr>
          <w:p w:rsidR="001043F2" w:rsidRDefault="001043F2" w:rsidP="005459BF">
            <w:pPr>
              <w:spacing w:after="0" w:line="240" w:lineRule="auto"/>
              <w:contextualSpacing/>
              <w:jc w:val="center"/>
              <w:rPr>
                <w:rFonts w:ascii="Calibri" w:hAnsi="Calibri" w:cs="Calibri"/>
                <w:color w:val="000000"/>
              </w:rPr>
            </w:pPr>
            <w:r>
              <w:rPr>
                <w:rFonts w:ascii="Calibri" w:hAnsi="Calibri" w:cs="Calibri"/>
                <w:color w:val="000000"/>
              </w:rPr>
              <w:t>0.9</w:t>
            </w:r>
          </w:p>
        </w:tc>
        <w:tc>
          <w:tcPr>
            <w:tcW w:w="1120" w:type="dxa"/>
            <w:tcBorders>
              <w:top w:val="nil"/>
              <w:left w:val="nil"/>
              <w:bottom w:val="single" w:sz="4" w:space="0" w:color="auto"/>
              <w:right w:val="single" w:sz="4" w:space="0" w:color="auto"/>
            </w:tcBorders>
            <w:shd w:val="clear" w:color="000000" w:fill="FFFFFF"/>
            <w:noWrap/>
            <w:vAlign w:val="center"/>
          </w:tcPr>
          <w:p w:rsidR="001043F2" w:rsidRDefault="001043F2" w:rsidP="005459BF">
            <w:pPr>
              <w:spacing w:after="0" w:line="240" w:lineRule="auto"/>
              <w:contextualSpacing/>
              <w:jc w:val="center"/>
              <w:rPr>
                <w:rFonts w:ascii="Calibri" w:hAnsi="Calibri" w:cs="Calibri"/>
                <w:color w:val="000000"/>
              </w:rPr>
            </w:pPr>
          </w:p>
        </w:tc>
        <w:tc>
          <w:tcPr>
            <w:tcW w:w="1162" w:type="dxa"/>
            <w:tcBorders>
              <w:top w:val="nil"/>
              <w:left w:val="nil"/>
              <w:bottom w:val="single" w:sz="4" w:space="0" w:color="auto"/>
              <w:right w:val="single" w:sz="4" w:space="0" w:color="auto"/>
            </w:tcBorders>
            <w:shd w:val="clear" w:color="000000" w:fill="FFFFFF"/>
            <w:noWrap/>
            <w:vAlign w:val="center"/>
          </w:tcPr>
          <w:p w:rsidR="001043F2" w:rsidRDefault="001043F2" w:rsidP="005459BF">
            <w:pPr>
              <w:spacing w:after="0" w:line="240" w:lineRule="auto"/>
              <w:contextualSpacing/>
              <w:jc w:val="center"/>
              <w:rPr>
                <w:rFonts w:ascii="Calibri" w:hAnsi="Calibri" w:cs="Calibri"/>
                <w:color w:val="000000"/>
              </w:rPr>
            </w:pPr>
          </w:p>
        </w:tc>
      </w:tr>
      <w:tr w:rsidR="00F23AC5" w:rsidRPr="008F05A8" w:rsidTr="00F23AC5">
        <w:trPr>
          <w:trHeight w:val="300"/>
        </w:trPr>
        <w:tc>
          <w:tcPr>
            <w:tcW w:w="567" w:type="dxa"/>
            <w:tcBorders>
              <w:top w:val="nil"/>
              <w:left w:val="single" w:sz="4" w:space="0" w:color="auto"/>
              <w:bottom w:val="single" w:sz="4" w:space="0" w:color="auto"/>
              <w:right w:val="single" w:sz="4" w:space="0" w:color="auto"/>
            </w:tcBorders>
            <w:shd w:val="clear" w:color="000000" w:fill="FFFFFF"/>
            <w:vAlign w:val="bottom"/>
          </w:tcPr>
          <w:p w:rsidR="00F23AC5" w:rsidRPr="00F23AC5" w:rsidRDefault="00F23AC5" w:rsidP="001043F2">
            <w:pPr>
              <w:spacing w:after="0" w:line="240" w:lineRule="auto"/>
              <w:contextualSpacing/>
              <w:jc w:val="center"/>
              <w:rPr>
                <w:rFonts w:eastAsia="Times New Roman" w:cstheme="minorHAnsi"/>
                <w:i/>
                <w:color w:val="000000"/>
                <w:sz w:val="24"/>
                <w:szCs w:val="24"/>
                <w:lang w:eastAsia="en-IN"/>
              </w:rPr>
            </w:pPr>
            <w:r w:rsidRPr="00F23AC5">
              <w:rPr>
                <w:rFonts w:eastAsia="Times New Roman" w:cstheme="minorHAnsi"/>
                <w:i/>
                <w:color w:val="000000"/>
                <w:sz w:val="24"/>
                <w:szCs w:val="24"/>
                <w:lang w:eastAsia="en-IN"/>
              </w:rPr>
              <w:t>i.</w:t>
            </w:r>
          </w:p>
        </w:tc>
        <w:tc>
          <w:tcPr>
            <w:tcW w:w="3260" w:type="dxa"/>
            <w:tcBorders>
              <w:top w:val="nil"/>
              <w:left w:val="single" w:sz="4" w:space="0" w:color="auto"/>
              <w:bottom w:val="single" w:sz="4" w:space="0" w:color="auto"/>
              <w:right w:val="single" w:sz="4" w:space="0" w:color="auto"/>
            </w:tcBorders>
            <w:shd w:val="clear" w:color="000000" w:fill="FFFFFF"/>
            <w:noWrap/>
            <w:vAlign w:val="bottom"/>
          </w:tcPr>
          <w:p w:rsidR="00F23AC5" w:rsidRPr="00F23AC5" w:rsidRDefault="00F23AC5" w:rsidP="00F23AC5">
            <w:pPr>
              <w:spacing w:after="0" w:line="240" w:lineRule="auto"/>
              <w:contextualSpacing/>
              <w:rPr>
                <w:rFonts w:eastAsia="Times New Roman" w:cstheme="minorHAnsi"/>
                <w:color w:val="000000"/>
                <w:sz w:val="24"/>
                <w:szCs w:val="24"/>
                <w:lang w:eastAsia="en-IN"/>
              </w:rPr>
            </w:pPr>
            <w:r w:rsidRPr="00F23AC5">
              <w:rPr>
                <w:rFonts w:eastAsia="Times New Roman" w:cstheme="minorHAnsi"/>
                <w:color w:val="000000"/>
                <w:sz w:val="24"/>
                <w:szCs w:val="24"/>
                <w:lang w:eastAsia="en-IN"/>
              </w:rPr>
              <w:t>Inadvertent error in considering Net Metering units in Energy input for FY 2019-20.</w:t>
            </w:r>
          </w:p>
          <w:p w:rsidR="00F23AC5" w:rsidRPr="00F23AC5" w:rsidRDefault="00F23AC5" w:rsidP="00F23AC5">
            <w:pPr>
              <w:spacing w:after="0" w:line="240" w:lineRule="auto"/>
              <w:contextualSpacing/>
              <w:rPr>
                <w:rFonts w:eastAsia="Times New Roman" w:cstheme="minorHAnsi"/>
                <w:color w:val="000000"/>
                <w:sz w:val="24"/>
                <w:szCs w:val="24"/>
                <w:lang w:eastAsia="en-IN"/>
              </w:rPr>
            </w:pPr>
          </w:p>
        </w:tc>
        <w:tc>
          <w:tcPr>
            <w:tcW w:w="1120" w:type="dxa"/>
            <w:tcBorders>
              <w:top w:val="nil"/>
              <w:left w:val="nil"/>
              <w:bottom w:val="single" w:sz="4" w:space="0" w:color="auto"/>
              <w:right w:val="single" w:sz="4" w:space="0" w:color="auto"/>
            </w:tcBorders>
            <w:shd w:val="clear" w:color="000000" w:fill="FFFFFF"/>
            <w:noWrap/>
            <w:vAlign w:val="center"/>
          </w:tcPr>
          <w:p w:rsidR="00F23AC5" w:rsidRPr="00F23AC5" w:rsidRDefault="00F23AC5" w:rsidP="005459BF">
            <w:pPr>
              <w:spacing w:after="0" w:line="240" w:lineRule="auto"/>
              <w:contextualSpacing/>
              <w:jc w:val="center"/>
              <w:rPr>
                <w:rFonts w:ascii="Calibri" w:hAnsi="Calibri" w:cs="Calibri"/>
                <w:i/>
                <w:color w:val="000000"/>
              </w:rPr>
            </w:pPr>
            <w:r w:rsidRPr="00F23AC5">
              <w:rPr>
                <w:rFonts w:ascii="Calibri" w:hAnsi="Calibri" w:cs="Calibri"/>
                <w:i/>
                <w:color w:val="000000"/>
              </w:rPr>
              <w:lastRenderedPageBreak/>
              <w:t>0.9</w:t>
            </w:r>
          </w:p>
        </w:tc>
        <w:tc>
          <w:tcPr>
            <w:tcW w:w="1120" w:type="dxa"/>
            <w:tcBorders>
              <w:top w:val="nil"/>
              <w:left w:val="nil"/>
              <w:bottom w:val="single" w:sz="4" w:space="0" w:color="auto"/>
              <w:right w:val="single" w:sz="4" w:space="0" w:color="auto"/>
            </w:tcBorders>
            <w:shd w:val="clear" w:color="000000" w:fill="FFFFFF"/>
            <w:noWrap/>
            <w:vAlign w:val="center"/>
          </w:tcPr>
          <w:p w:rsidR="00F23AC5" w:rsidRPr="00F23AC5" w:rsidRDefault="00F23AC5" w:rsidP="005459BF">
            <w:pPr>
              <w:spacing w:after="0" w:line="240" w:lineRule="auto"/>
              <w:contextualSpacing/>
              <w:jc w:val="center"/>
              <w:rPr>
                <w:rFonts w:ascii="Calibri" w:hAnsi="Calibri" w:cs="Calibri"/>
                <w:i/>
                <w:color w:val="000000"/>
              </w:rPr>
            </w:pPr>
          </w:p>
        </w:tc>
        <w:tc>
          <w:tcPr>
            <w:tcW w:w="1162" w:type="dxa"/>
            <w:tcBorders>
              <w:top w:val="nil"/>
              <w:left w:val="nil"/>
              <w:bottom w:val="single" w:sz="4" w:space="0" w:color="auto"/>
              <w:right w:val="single" w:sz="4" w:space="0" w:color="auto"/>
            </w:tcBorders>
            <w:shd w:val="clear" w:color="000000" w:fill="FFFFFF"/>
            <w:noWrap/>
            <w:vAlign w:val="center"/>
          </w:tcPr>
          <w:p w:rsidR="00F23AC5" w:rsidRPr="00F23AC5" w:rsidRDefault="00F23AC5" w:rsidP="005459BF">
            <w:pPr>
              <w:spacing w:after="0" w:line="240" w:lineRule="auto"/>
              <w:contextualSpacing/>
              <w:jc w:val="center"/>
              <w:rPr>
                <w:rFonts w:ascii="Calibri" w:hAnsi="Calibri" w:cs="Calibri"/>
                <w:i/>
                <w:color w:val="000000"/>
              </w:rPr>
            </w:pPr>
          </w:p>
        </w:tc>
      </w:tr>
      <w:tr w:rsidR="00F23AC5" w:rsidRPr="008F05A8" w:rsidTr="00F23AC5">
        <w:trPr>
          <w:trHeight w:val="300"/>
        </w:trPr>
        <w:tc>
          <w:tcPr>
            <w:tcW w:w="567" w:type="dxa"/>
            <w:tcBorders>
              <w:top w:val="nil"/>
              <w:left w:val="single" w:sz="4" w:space="0" w:color="auto"/>
              <w:bottom w:val="single" w:sz="4" w:space="0" w:color="auto"/>
              <w:right w:val="single" w:sz="4" w:space="0" w:color="auto"/>
            </w:tcBorders>
            <w:shd w:val="clear" w:color="000000" w:fill="FFFFFF"/>
            <w:vAlign w:val="bottom"/>
          </w:tcPr>
          <w:p w:rsidR="00F23AC5" w:rsidRPr="00F23AC5" w:rsidRDefault="00F23AC5" w:rsidP="001043F2">
            <w:pPr>
              <w:spacing w:after="0" w:line="240" w:lineRule="auto"/>
              <w:contextualSpacing/>
              <w:jc w:val="center"/>
              <w:rPr>
                <w:rFonts w:eastAsia="Times New Roman" w:cstheme="minorHAnsi"/>
                <w:i/>
                <w:color w:val="000000"/>
                <w:sz w:val="24"/>
                <w:szCs w:val="24"/>
                <w:lang w:eastAsia="en-IN"/>
              </w:rPr>
            </w:pPr>
            <w:r w:rsidRPr="00F23AC5">
              <w:rPr>
                <w:rFonts w:eastAsia="Times New Roman" w:cstheme="minorHAnsi"/>
                <w:i/>
                <w:color w:val="000000"/>
                <w:sz w:val="24"/>
                <w:szCs w:val="24"/>
                <w:lang w:eastAsia="en-IN"/>
              </w:rPr>
              <w:lastRenderedPageBreak/>
              <w:t>ii.</w:t>
            </w:r>
          </w:p>
        </w:tc>
        <w:tc>
          <w:tcPr>
            <w:tcW w:w="3260" w:type="dxa"/>
            <w:tcBorders>
              <w:top w:val="nil"/>
              <w:left w:val="single" w:sz="4" w:space="0" w:color="auto"/>
              <w:bottom w:val="single" w:sz="4" w:space="0" w:color="auto"/>
              <w:right w:val="single" w:sz="4" w:space="0" w:color="auto"/>
            </w:tcBorders>
            <w:shd w:val="clear" w:color="000000" w:fill="FFFFFF"/>
            <w:noWrap/>
            <w:vAlign w:val="bottom"/>
          </w:tcPr>
          <w:p w:rsidR="00F23AC5" w:rsidRPr="00F23AC5" w:rsidRDefault="00F23AC5" w:rsidP="001043F2">
            <w:pPr>
              <w:spacing w:after="0" w:line="240" w:lineRule="auto"/>
              <w:contextualSpacing/>
              <w:rPr>
                <w:rFonts w:eastAsia="Times New Roman" w:cstheme="minorHAnsi"/>
                <w:color w:val="000000"/>
                <w:sz w:val="24"/>
                <w:szCs w:val="24"/>
                <w:lang w:eastAsia="en-IN"/>
              </w:rPr>
            </w:pPr>
            <w:r w:rsidRPr="00F23AC5">
              <w:rPr>
                <w:rFonts w:eastAsia="Times New Roman" w:cstheme="minorHAnsi"/>
                <w:color w:val="000000"/>
                <w:sz w:val="24"/>
                <w:szCs w:val="24"/>
                <w:lang w:eastAsia="en-IN"/>
              </w:rPr>
              <w:t>Inadvertent omission to allow capitalization of Rs. 0.06 Cr. For FY 2017-18 on account of EIC</w:t>
            </w:r>
          </w:p>
        </w:tc>
        <w:tc>
          <w:tcPr>
            <w:tcW w:w="1120" w:type="dxa"/>
            <w:tcBorders>
              <w:top w:val="nil"/>
              <w:left w:val="nil"/>
              <w:bottom w:val="single" w:sz="4" w:space="0" w:color="auto"/>
              <w:right w:val="single" w:sz="4" w:space="0" w:color="auto"/>
            </w:tcBorders>
            <w:shd w:val="clear" w:color="000000" w:fill="FFFFFF"/>
            <w:noWrap/>
            <w:vAlign w:val="center"/>
          </w:tcPr>
          <w:p w:rsidR="00F23AC5" w:rsidRPr="00F23AC5" w:rsidRDefault="00F23AC5" w:rsidP="005459BF">
            <w:pPr>
              <w:spacing w:after="0" w:line="240" w:lineRule="auto"/>
              <w:contextualSpacing/>
              <w:jc w:val="center"/>
              <w:rPr>
                <w:rFonts w:ascii="Calibri" w:hAnsi="Calibri" w:cs="Calibri"/>
                <w:i/>
                <w:color w:val="000000"/>
              </w:rPr>
            </w:pPr>
            <w:r>
              <w:rPr>
                <w:rFonts w:ascii="Calibri" w:hAnsi="Calibri" w:cs="Calibri"/>
                <w:i/>
                <w:color w:val="000000"/>
              </w:rPr>
              <w:t>0.01</w:t>
            </w:r>
          </w:p>
        </w:tc>
        <w:tc>
          <w:tcPr>
            <w:tcW w:w="1120" w:type="dxa"/>
            <w:tcBorders>
              <w:top w:val="nil"/>
              <w:left w:val="nil"/>
              <w:bottom w:val="single" w:sz="4" w:space="0" w:color="auto"/>
              <w:right w:val="single" w:sz="4" w:space="0" w:color="auto"/>
            </w:tcBorders>
            <w:shd w:val="clear" w:color="000000" w:fill="FFFFFF"/>
            <w:noWrap/>
            <w:vAlign w:val="center"/>
          </w:tcPr>
          <w:p w:rsidR="00F23AC5" w:rsidRPr="00F23AC5" w:rsidRDefault="00F23AC5" w:rsidP="005459BF">
            <w:pPr>
              <w:spacing w:after="0" w:line="240" w:lineRule="auto"/>
              <w:contextualSpacing/>
              <w:jc w:val="center"/>
              <w:rPr>
                <w:rFonts w:ascii="Calibri" w:hAnsi="Calibri" w:cs="Calibri"/>
                <w:i/>
                <w:color w:val="000000"/>
              </w:rPr>
            </w:pPr>
          </w:p>
        </w:tc>
        <w:tc>
          <w:tcPr>
            <w:tcW w:w="1162" w:type="dxa"/>
            <w:tcBorders>
              <w:top w:val="nil"/>
              <w:left w:val="nil"/>
              <w:bottom w:val="single" w:sz="4" w:space="0" w:color="auto"/>
              <w:right w:val="single" w:sz="4" w:space="0" w:color="auto"/>
            </w:tcBorders>
            <w:shd w:val="clear" w:color="000000" w:fill="FFFFFF"/>
            <w:noWrap/>
            <w:vAlign w:val="center"/>
          </w:tcPr>
          <w:p w:rsidR="00F23AC5" w:rsidRPr="00F23AC5" w:rsidRDefault="00F23AC5" w:rsidP="005459BF">
            <w:pPr>
              <w:spacing w:after="0" w:line="240" w:lineRule="auto"/>
              <w:contextualSpacing/>
              <w:jc w:val="center"/>
              <w:rPr>
                <w:rFonts w:ascii="Calibri" w:hAnsi="Calibri" w:cs="Calibri"/>
                <w:i/>
                <w:color w:val="000000"/>
              </w:rPr>
            </w:pPr>
          </w:p>
        </w:tc>
      </w:tr>
      <w:tr w:rsidR="001043F2" w:rsidRPr="008F05A8" w:rsidTr="00F23AC5">
        <w:trPr>
          <w:trHeight w:val="300"/>
        </w:trPr>
        <w:tc>
          <w:tcPr>
            <w:tcW w:w="567" w:type="dxa"/>
            <w:tcBorders>
              <w:top w:val="nil"/>
              <w:left w:val="single" w:sz="4" w:space="0" w:color="auto"/>
              <w:bottom w:val="single" w:sz="4" w:space="0" w:color="auto"/>
              <w:right w:val="single" w:sz="4" w:space="0" w:color="auto"/>
            </w:tcBorders>
            <w:shd w:val="clear" w:color="000000" w:fill="FFFFFF"/>
            <w:vAlign w:val="bottom"/>
          </w:tcPr>
          <w:p w:rsidR="001043F2" w:rsidRPr="00AE0294" w:rsidRDefault="001043F2" w:rsidP="001043F2">
            <w:pPr>
              <w:spacing w:after="0" w:line="240" w:lineRule="auto"/>
              <w:contextualSpacing/>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3</w:t>
            </w:r>
          </w:p>
        </w:tc>
        <w:tc>
          <w:tcPr>
            <w:tcW w:w="3260" w:type="dxa"/>
            <w:tcBorders>
              <w:top w:val="nil"/>
              <w:left w:val="single" w:sz="4" w:space="0" w:color="auto"/>
              <w:bottom w:val="single" w:sz="4" w:space="0" w:color="auto"/>
              <w:right w:val="single" w:sz="4" w:space="0" w:color="auto"/>
            </w:tcBorders>
            <w:shd w:val="clear" w:color="000000" w:fill="FFFFFF"/>
            <w:noWrap/>
            <w:vAlign w:val="bottom"/>
            <w:hideMark/>
          </w:tcPr>
          <w:p w:rsidR="001043F2" w:rsidRPr="00AE0294" w:rsidRDefault="001043F2" w:rsidP="001043F2">
            <w:pPr>
              <w:spacing w:after="0" w:line="240" w:lineRule="auto"/>
              <w:contextualSpacing/>
              <w:rPr>
                <w:rFonts w:eastAsia="Times New Roman" w:cstheme="minorHAnsi"/>
                <w:color w:val="000000"/>
                <w:sz w:val="24"/>
                <w:szCs w:val="24"/>
                <w:lang w:eastAsia="en-IN"/>
              </w:rPr>
            </w:pPr>
            <w:r w:rsidRPr="00AE0294">
              <w:rPr>
                <w:rFonts w:eastAsia="Times New Roman" w:cstheme="minorHAnsi"/>
                <w:color w:val="000000"/>
                <w:sz w:val="24"/>
                <w:szCs w:val="24"/>
                <w:lang w:eastAsia="en-IN"/>
              </w:rPr>
              <w:t>Closing Balance</w:t>
            </w:r>
          </w:p>
        </w:tc>
        <w:tc>
          <w:tcPr>
            <w:tcW w:w="1120" w:type="dxa"/>
            <w:tcBorders>
              <w:top w:val="nil"/>
              <w:left w:val="nil"/>
              <w:bottom w:val="single" w:sz="4" w:space="0" w:color="auto"/>
              <w:right w:val="single" w:sz="4" w:space="0" w:color="auto"/>
            </w:tcBorders>
            <w:shd w:val="clear" w:color="000000" w:fill="FFFFFF"/>
            <w:noWrap/>
            <w:vAlign w:val="center"/>
            <w:hideMark/>
          </w:tcPr>
          <w:p w:rsidR="001043F2" w:rsidRDefault="001043F2" w:rsidP="005459BF">
            <w:pPr>
              <w:spacing w:after="0" w:line="240" w:lineRule="auto"/>
              <w:contextualSpacing/>
              <w:jc w:val="center"/>
              <w:rPr>
                <w:rFonts w:ascii="Calibri" w:hAnsi="Calibri" w:cs="Calibri"/>
                <w:color w:val="000000"/>
              </w:rPr>
            </w:pPr>
            <w:r>
              <w:rPr>
                <w:rFonts w:ascii="Calibri" w:hAnsi="Calibri" w:cs="Calibri"/>
                <w:color w:val="000000"/>
              </w:rPr>
              <w:t>0.9</w:t>
            </w:r>
          </w:p>
        </w:tc>
        <w:tc>
          <w:tcPr>
            <w:tcW w:w="1120" w:type="dxa"/>
            <w:tcBorders>
              <w:top w:val="nil"/>
              <w:left w:val="nil"/>
              <w:bottom w:val="single" w:sz="4" w:space="0" w:color="auto"/>
              <w:right w:val="single" w:sz="4" w:space="0" w:color="auto"/>
            </w:tcBorders>
            <w:shd w:val="clear" w:color="000000" w:fill="FFFFFF"/>
            <w:noWrap/>
            <w:vAlign w:val="center"/>
            <w:hideMark/>
          </w:tcPr>
          <w:p w:rsidR="001043F2" w:rsidRDefault="001043F2" w:rsidP="005459BF">
            <w:pPr>
              <w:spacing w:after="0" w:line="240" w:lineRule="auto"/>
              <w:contextualSpacing/>
              <w:jc w:val="center"/>
              <w:rPr>
                <w:rFonts w:ascii="Calibri" w:hAnsi="Calibri" w:cs="Calibri"/>
                <w:color w:val="000000"/>
              </w:rPr>
            </w:pPr>
            <w:r>
              <w:rPr>
                <w:rFonts w:ascii="Calibri" w:hAnsi="Calibri" w:cs="Calibri"/>
                <w:color w:val="000000"/>
              </w:rPr>
              <w:t>1.0</w:t>
            </w:r>
          </w:p>
        </w:tc>
        <w:tc>
          <w:tcPr>
            <w:tcW w:w="1162" w:type="dxa"/>
            <w:tcBorders>
              <w:top w:val="nil"/>
              <w:left w:val="nil"/>
              <w:bottom w:val="single" w:sz="4" w:space="0" w:color="auto"/>
              <w:right w:val="single" w:sz="4" w:space="0" w:color="auto"/>
            </w:tcBorders>
            <w:shd w:val="clear" w:color="000000" w:fill="FFFFFF"/>
            <w:noWrap/>
            <w:vAlign w:val="center"/>
            <w:hideMark/>
          </w:tcPr>
          <w:p w:rsidR="001043F2" w:rsidRDefault="001043F2" w:rsidP="005459BF">
            <w:pPr>
              <w:spacing w:after="0" w:line="240" w:lineRule="auto"/>
              <w:contextualSpacing/>
              <w:jc w:val="center"/>
              <w:rPr>
                <w:rFonts w:ascii="Calibri" w:hAnsi="Calibri" w:cs="Calibri"/>
                <w:color w:val="000000"/>
              </w:rPr>
            </w:pPr>
            <w:r>
              <w:rPr>
                <w:rFonts w:ascii="Calibri" w:hAnsi="Calibri" w:cs="Calibri"/>
                <w:color w:val="000000"/>
              </w:rPr>
              <w:t>1.1</w:t>
            </w:r>
          </w:p>
        </w:tc>
      </w:tr>
      <w:tr w:rsidR="001043F2" w:rsidRPr="008F05A8" w:rsidTr="00F23AC5">
        <w:trPr>
          <w:trHeight w:val="300"/>
        </w:trPr>
        <w:tc>
          <w:tcPr>
            <w:tcW w:w="567" w:type="dxa"/>
            <w:tcBorders>
              <w:top w:val="nil"/>
              <w:left w:val="single" w:sz="4" w:space="0" w:color="auto"/>
              <w:bottom w:val="single" w:sz="4" w:space="0" w:color="auto"/>
              <w:right w:val="single" w:sz="4" w:space="0" w:color="auto"/>
            </w:tcBorders>
            <w:shd w:val="clear" w:color="000000" w:fill="FFFFFF"/>
            <w:vAlign w:val="bottom"/>
          </w:tcPr>
          <w:p w:rsidR="001043F2" w:rsidRPr="00AE0294" w:rsidRDefault="001043F2" w:rsidP="001043F2">
            <w:pPr>
              <w:spacing w:after="0" w:line="240" w:lineRule="auto"/>
              <w:contextualSpacing/>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4</w:t>
            </w:r>
          </w:p>
        </w:tc>
        <w:tc>
          <w:tcPr>
            <w:tcW w:w="3260" w:type="dxa"/>
            <w:tcBorders>
              <w:top w:val="nil"/>
              <w:left w:val="single" w:sz="4" w:space="0" w:color="auto"/>
              <w:bottom w:val="single" w:sz="4" w:space="0" w:color="auto"/>
              <w:right w:val="single" w:sz="4" w:space="0" w:color="auto"/>
            </w:tcBorders>
            <w:shd w:val="clear" w:color="000000" w:fill="FFFFFF"/>
            <w:noWrap/>
            <w:vAlign w:val="bottom"/>
          </w:tcPr>
          <w:p w:rsidR="001043F2" w:rsidRPr="00AE0294" w:rsidRDefault="001043F2" w:rsidP="001043F2">
            <w:pPr>
              <w:spacing w:after="0" w:line="240" w:lineRule="auto"/>
              <w:contextualSpacing/>
              <w:rPr>
                <w:rFonts w:eastAsia="Times New Roman" w:cstheme="minorHAnsi"/>
                <w:color w:val="000000"/>
                <w:sz w:val="24"/>
                <w:szCs w:val="24"/>
                <w:lang w:eastAsia="en-IN"/>
              </w:rPr>
            </w:pPr>
            <w:r w:rsidRPr="00AE0294">
              <w:rPr>
                <w:rFonts w:eastAsia="Times New Roman" w:cstheme="minorHAnsi"/>
                <w:color w:val="000000"/>
                <w:sz w:val="24"/>
                <w:szCs w:val="24"/>
                <w:lang w:eastAsia="en-IN"/>
              </w:rPr>
              <w:t>Avg. Balance</w:t>
            </w:r>
          </w:p>
        </w:tc>
        <w:tc>
          <w:tcPr>
            <w:tcW w:w="1120" w:type="dxa"/>
            <w:tcBorders>
              <w:top w:val="nil"/>
              <w:left w:val="nil"/>
              <w:bottom w:val="single" w:sz="4" w:space="0" w:color="auto"/>
              <w:right w:val="single" w:sz="4" w:space="0" w:color="auto"/>
            </w:tcBorders>
            <w:shd w:val="clear" w:color="000000" w:fill="FFFFFF"/>
            <w:noWrap/>
            <w:vAlign w:val="center"/>
          </w:tcPr>
          <w:p w:rsidR="001043F2" w:rsidRDefault="001043F2" w:rsidP="005459BF">
            <w:pPr>
              <w:spacing w:after="0" w:line="240" w:lineRule="auto"/>
              <w:contextualSpacing/>
              <w:jc w:val="center"/>
              <w:rPr>
                <w:rFonts w:ascii="Arial" w:hAnsi="Arial" w:cs="Arial"/>
                <w:color w:val="000000"/>
              </w:rPr>
            </w:pPr>
            <w:r>
              <w:rPr>
                <w:rFonts w:ascii="Arial" w:hAnsi="Arial" w:cs="Arial"/>
                <w:color w:val="000000"/>
              </w:rPr>
              <w:t>0.5</w:t>
            </w:r>
          </w:p>
        </w:tc>
        <w:tc>
          <w:tcPr>
            <w:tcW w:w="1120" w:type="dxa"/>
            <w:tcBorders>
              <w:top w:val="nil"/>
              <w:left w:val="nil"/>
              <w:bottom w:val="single" w:sz="4" w:space="0" w:color="auto"/>
              <w:right w:val="single" w:sz="4" w:space="0" w:color="auto"/>
            </w:tcBorders>
            <w:shd w:val="clear" w:color="000000" w:fill="FFFFFF"/>
            <w:noWrap/>
            <w:vAlign w:val="center"/>
          </w:tcPr>
          <w:p w:rsidR="001043F2" w:rsidRDefault="001043F2" w:rsidP="005459BF">
            <w:pPr>
              <w:spacing w:after="0" w:line="240" w:lineRule="auto"/>
              <w:contextualSpacing/>
              <w:jc w:val="center"/>
              <w:rPr>
                <w:rFonts w:ascii="Arial" w:hAnsi="Arial" w:cs="Arial"/>
                <w:color w:val="000000"/>
              </w:rPr>
            </w:pPr>
            <w:r>
              <w:rPr>
                <w:rFonts w:ascii="Arial" w:hAnsi="Arial" w:cs="Arial"/>
                <w:color w:val="000000"/>
              </w:rPr>
              <w:t>1.0</w:t>
            </w:r>
          </w:p>
        </w:tc>
        <w:tc>
          <w:tcPr>
            <w:tcW w:w="1162" w:type="dxa"/>
            <w:tcBorders>
              <w:top w:val="nil"/>
              <w:left w:val="nil"/>
              <w:bottom w:val="single" w:sz="4" w:space="0" w:color="auto"/>
              <w:right w:val="single" w:sz="4" w:space="0" w:color="auto"/>
            </w:tcBorders>
            <w:shd w:val="clear" w:color="000000" w:fill="FFFFFF"/>
            <w:noWrap/>
            <w:vAlign w:val="center"/>
          </w:tcPr>
          <w:p w:rsidR="001043F2" w:rsidRDefault="001043F2" w:rsidP="005459BF">
            <w:pPr>
              <w:spacing w:after="0" w:line="240" w:lineRule="auto"/>
              <w:contextualSpacing/>
              <w:jc w:val="center"/>
              <w:rPr>
                <w:rFonts w:ascii="Arial" w:hAnsi="Arial" w:cs="Arial"/>
                <w:color w:val="000000"/>
              </w:rPr>
            </w:pPr>
            <w:r>
              <w:rPr>
                <w:rFonts w:ascii="Arial" w:hAnsi="Arial" w:cs="Arial"/>
                <w:color w:val="000000"/>
              </w:rPr>
              <w:t>1.1</w:t>
            </w:r>
          </w:p>
        </w:tc>
      </w:tr>
      <w:tr w:rsidR="008F05A8" w:rsidRPr="008F05A8" w:rsidTr="00F23AC5">
        <w:trPr>
          <w:trHeight w:val="300"/>
        </w:trPr>
        <w:tc>
          <w:tcPr>
            <w:tcW w:w="567" w:type="dxa"/>
            <w:tcBorders>
              <w:top w:val="nil"/>
              <w:left w:val="single" w:sz="4" w:space="0" w:color="auto"/>
              <w:bottom w:val="single" w:sz="4" w:space="0" w:color="auto"/>
              <w:right w:val="single" w:sz="4" w:space="0" w:color="auto"/>
            </w:tcBorders>
            <w:shd w:val="clear" w:color="000000" w:fill="FFFFFF"/>
            <w:vAlign w:val="bottom"/>
          </w:tcPr>
          <w:p w:rsidR="008F05A8" w:rsidRPr="00AE0294" w:rsidRDefault="008F05A8" w:rsidP="001043F2">
            <w:pPr>
              <w:spacing w:after="0" w:line="240" w:lineRule="auto"/>
              <w:contextualSpacing/>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5</w:t>
            </w:r>
          </w:p>
        </w:tc>
        <w:tc>
          <w:tcPr>
            <w:tcW w:w="3260" w:type="dxa"/>
            <w:tcBorders>
              <w:top w:val="nil"/>
              <w:left w:val="single" w:sz="4" w:space="0" w:color="auto"/>
              <w:bottom w:val="single" w:sz="4" w:space="0" w:color="auto"/>
              <w:right w:val="single" w:sz="4" w:space="0" w:color="auto"/>
            </w:tcBorders>
            <w:shd w:val="clear" w:color="000000" w:fill="FFFFFF"/>
            <w:noWrap/>
            <w:vAlign w:val="center"/>
            <w:hideMark/>
          </w:tcPr>
          <w:p w:rsidR="008F05A8" w:rsidRPr="008F05A8" w:rsidRDefault="008F05A8" w:rsidP="001043F2">
            <w:pPr>
              <w:spacing w:after="0" w:line="240" w:lineRule="auto"/>
              <w:contextualSpacing/>
              <w:rPr>
                <w:rFonts w:ascii="Calibri" w:eastAsia="Times New Roman" w:hAnsi="Calibri" w:cs="Calibri"/>
                <w:color w:val="000000"/>
                <w:lang w:eastAsia="en-IN"/>
              </w:rPr>
            </w:pPr>
            <w:r w:rsidRPr="008F05A8">
              <w:rPr>
                <w:rFonts w:ascii="Calibri" w:eastAsia="Times New Roman" w:hAnsi="Calibri" w:cs="Calibri"/>
                <w:color w:val="000000"/>
                <w:lang w:eastAsia="en-IN"/>
              </w:rPr>
              <w:t>Carrying Cost Rate</w:t>
            </w:r>
          </w:p>
        </w:tc>
        <w:tc>
          <w:tcPr>
            <w:tcW w:w="1120" w:type="dxa"/>
            <w:tcBorders>
              <w:top w:val="nil"/>
              <w:left w:val="nil"/>
              <w:bottom w:val="single" w:sz="4" w:space="0" w:color="auto"/>
              <w:right w:val="single" w:sz="4" w:space="0" w:color="auto"/>
            </w:tcBorders>
            <w:shd w:val="clear" w:color="000000" w:fill="FFFFFF"/>
            <w:noWrap/>
            <w:vAlign w:val="center"/>
            <w:hideMark/>
          </w:tcPr>
          <w:p w:rsidR="008F05A8" w:rsidRPr="008F05A8" w:rsidRDefault="008F05A8" w:rsidP="005459BF">
            <w:pPr>
              <w:spacing w:after="0" w:line="240" w:lineRule="auto"/>
              <w:contextualSpacing/>
              <w:jc w:val="center"/>
              <w:rPr>
                <w:rFonts w:ascii="Calibri" w:eastAsia="Times New Roman" w:hAnsi="Calibri" w:cs="Calibri"/>
                <w:color w:val="000000"/>
                <w:lang w:eastAsia="en-IN"/>
              </w:rPr>
            </w:pPr>
            <w:r w:rsidRPr="008F05A8">
              <w:rPr>
                <w:rFonts w:ascii="Calibri" w:eastAsia="Times New Roman" w:hAnsi="Calibri" w:cs="Calibri"/>
                <w:color w:val="000000"/>
                <w:lang w:eastAsia="en-IN"/>
              </w:rPr>
              <w:t>14.00%</w:t>
            </w:r>
          </w:p>
        </w:tc>
        <w:tc>
          <w:tcPr>
            <w:tcW w:w="1120" w:type="dxa"/>
            <w:tcBorders>
              <w:top w:val="nil"/>
              <w:left w:val="nil"/>
              <w:bottom w:val="single" w:sz="4" w:space="0" w:color="auto"/>
              <w:right w:val="single" w:sz="4" w:space="0" w:color="auto"/>
            </w:tcBorders>
            <w:shd w:val="clear" w:color="000000" w:fill="FFFFFF"/>
            <w:noWrap/>
            <w:vAlign w:val="center"/>
            <w:hideMark/>
          </w:tcPr>
          <w:p w:rsidR="008F05A8" w:rsidRPr="008F05A8" w:rsidRDefault="008F05A8" w:rsidP="005459BF">
            <w:pPr>
              <w:spacing w:after="0" w:line="240" w:lineRule="auto"/>
              <w:contextualSpacing/>
              <w:jc w:val="center"/>
              <w:rPr>
                <w:rFonts w:ascii="Calibri" w:eastAsia="Times New Roman" w:hAnsi="Calibri" w:cs="Calibri"/>
                <w:color w:val="000000"/>
                <w:lang w:eastAsia="en-IN"/>
              </w:rPr>
            </w:pPr>
            <w:r w:rsidRPr="008F05A8">
              <w:rPr>
                <w:rFonts w:ascii="Calibri" w:eastAsia="Times New Roman" w:hAnsi="Calibri" w:cs="Calibri"/>
                <w:color w:val="000000"/>
                <w:lang w:eastAsia="en-IN"/>
              </w:rPr>
              <w:t>12.74%</w:t>
            </w:r>
          </w:p>
        </w:tc>
        <w:tc>
          <w:tcPr>
            <w:tcW w:w="1162" w:type="dxa"/>
            <w:tcBorders>
              <w:top w:val="nil"/>
              <w:left w:val="nil"/>
              <w:bottom w:val="single" w:sz="4" w:space="0" w:color="auto"/>
              <w:right w:val="single" w:sz="4" w:space="0" w:color="auto"/>
            </w:tcBorders>
            <w:shd w:val="clear" w:color="000000" w:fill="FFFFFF"/>
            <w:noWrap/>
            <w:vAlign w:val="center"/>
            <w:hideMark/>
          </w:tcPr>
          <w:p w:rsidR="008F05A8" w:rsidRPr="008F05A8" w:rsidRDefault="008F05A8" w:rsidP="005459BF">
            <w:pPr>
              <w:spacing w:after="0" w:line="240" w:lineRule="auto"/>
              <w:contextualSpacing/>
              <w:jc w:val="center"/>
              <w:rPr>
                <w:rFonts w:ascii="Calibri" w:eastAsia="Times New Roman" w:hAnsi="Calibri" w:cs="Calibri"/>
                <w:color w:val="000000"/>
                <w:lang w:eastAsia="en-IN"/>
              </w:rPr>
            </w:pPr>
            <w:r w:rsidRPr="008F05A8">
              <w:rPr>
                <w:rFonts w:ascii="Calibri" w:eastAsia="Times New Roman" w:hAnsi="Calibri" w:cs="Calibri"/>
                <w:color w:val="000000"/>
                <w:lang w:eastAsia="en-IN"/>
              </w:rPr>
              <w:t>12.08%</w:t>
            </w:r>
          </w:p>
        </w:tc>
      </w:tr>
      <w:tr w:rsidR="008F05A8" w:rsidRPr="008F05A8" w:rsidTr="00F23AC5">
        <w:trPr>
          <w:trHeight w:val="300"/>
        </w:trPr>
        <w:tc>
          <w:tcPr>
            <w:tcW w:w="567" w:type="dxa"/>
            <w:tcBorders>
              <w:top w:val="nil"/>
              <w:left w:val="single" w:sz="4" w:space="0" w:color="auto"/>
              <w:bottom w:val="single" w:sz="4" w:space="0" w:color="auto"/>
              <w:right w:val="single" w:sz="4" w:space="0" w:color="auto"/>
            </w:tcBorders>
            <w:shd w:val="clear" w:color="000000" w:fill="FFFFFF"/>
            <w:vAlign w:val="bottom"/>
          </w:tcPr>
          <w:p w:rsidR="008F05A8" w:rsidRPr="00AE0294" w:rsidRDefault="008F05A8" w:rsidP="001043F2">
            <w:pPr>
              <w:spacing w:after="0" w:line="240" w:lineRule="auto"/>
              <w:contextualSpacing/>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6</w:t>
            </w:r>
          </w:p>
        </w:tc>
        <w:tc>
          <w:tcPr>
            <w:tcW w:w="3260" w:type="dxa"/>
            <w:tcBorders>
              <w:top w:val="nil"/>
              <w:left w:val="single" w:sz="4" w:space="0" w:color="auto"/>
              <w:bottom w:val="single" w:sz="4" w:space="0" w:color="auto"/>
              <w:right w:val="single" w:sz="4" w:space="0" w:color="auto"/>
            </w:tcBorders>
            <w:shd w:val="clear" w:color="000000" w:fill="FFFFFF"/>
            <w:noWrap/>
            <w:vAlign w:val="center"/>
            <w:hideMark/>
          </w:tcPr>
          <w:p w:rsidR="008F05A8" w:rsidRPr="008F05A8" w:rsidRDefault="008F05A8" w:rsidP="001043F2">
            <w:pPr>
              <w:spacing w:after="0" w:line="240" w:lineRule="auto"/>
              <w:contextualSpacing/>
              <w:rPr>
                <w:rFonts w:ascii="Calibri" w:eastAsia="Times New Roman" w:hAnsi="Calibri" w:cs="Calibri"/>
                <w:color w:val="000000"/>
                <w:lang w:eastAsia="en-IN"/>
              </w:rPr>
            </w:pPr>
            <w:r w:rsidRPr="00AE0294">
              <w:rPr>
                <w:rFonts w:eastAsia="Times New Roman" w:cstheme="minorHAnsi"/>
                <w:color w:val="000000"/>
                <w:sz w:val="24"/>
                <w:szCs w:val="24"/>
                <w:lang w:eastAsia="en-IN"/>
              </w:rPr>
              <w:t>Carrying Cost</w:t>
            </w:r>
          </w:p>
        </w:tc>
        <w:tc>
          <w:tcPr>
            <w:tcW w:w="1120" w:type="dxa"/>
            <w:tcBorders>
              <w:top w:val="nil"/>
              <w:left w:val="nil"/>
              <w:bottom w:val="single" w:sz="4" w:space="0" w:color="auto"/>
              <w:right w:val="single" w:sz="4" w:space="0" w:color="auto"/>
            </w:tcBorders>
            <w:shd w:val="clear" w:color="000000" w:fill="FFFFFF"/>
            <w:noWrap/>
            <w:vAlign w:val="center"/>
            <w:hideMark/>
          </w:tcPr>
          <w:p w:rsidR="008F05A8" w:rsidRPr="008F05A8" w:rsidRDefault="00BB4B74" w:rsidP="005459BF">
            <w:pPr>
              <w:spacing w:after="0" w:line="240" w:lineRule="auto"/>
              <w:contextualSpacing/>
              <w:jc w:val="center"/>
              <w:rPr>
                <w:rFonts w:ascii="Calibri" w:eastAsia="Times New Roman" w:hAnsi="Calibri" w:cs="Calibri"/>
                <w:color w:val="000000"/>
                <w:lang w:eastAsia="en-IN"/>
              </w:rPr>
            </w:pPr>
            <w:r>
              <w:rPr>
                <w:rFonts w:ascii="Calibri" w:eastAsia="Times New Roman" w:hAnsi="Calibri" w:cs="Calibri"/>
                <w:color w:val="000000"/>
                <w:lang w:eastAsia="en-IN"/>
              </w:rPr>
              <w:t>0.1</w:t>
            </w:r>
          </w:p>
        </w:tc>
        <w:tc>
          <w:tcPr>
            <w:tcW w:w="1120" w:type="dxa"/>
            <w:tcBorders>
              <w:top w:val="nil"/>
              <w:left w:val="nil"/>
              <w:bottom w:val="single" w:sz="4" w:space="0" w:color="auto"/>
              <w:right w:val="single" w:sz="4" w:space="0" w:color="auto"/>
            </w:tcBorders>
            <w:shd w:val="clear" w:color="000000" w:fill="FFFFFF"/>
            <w:noWrap/>
            <w:vAlign w:val="center"/>
            <w:hideMark/>
          </w:tcPr>
          <w:p w:rsidR="008F05A8" w:rsidRPr="008F05A8" w:rsidRDefault="00BB4B74" w:rsidP="005459BF">
            <w:pPr>
              <w:spacing w:after="0" w:line="240" w:lineRule="auto"/>
              <w:contextualSpacing/>
              <w:jc w:val="center"/>
              <w:rPr>
                <w:rFonts w:ascii="Calibri" w:eastAsia="Times New Roman" w:hAnsi="Calibri" w:cs="Calibri"/>
                <w:color w:val="000000"/>
                <w:lang w:eastAsia="en-IN"/>
              </w:rPr>
            </w:pPr>
            <w:r>
              <w:rPr>
                <w:rFonts w:ascii="Calibri" w:eastAsia="Times New Roman" w:hAnsi="Calibri" w:cs="Calibri"/>
                <w:color w:val="000000"/>
                <w:lang w:eastAsia="en-IN"/>
              </w:rPr>
              <w:t>0.1</w:t>
            </w:r>
          </w:p>
        </w:tc>
        <w:tc>
          <w:tcPr>
            <w:tcW w:w="1162" w:type="dxa"/>
            <w:tcBorders>
              <w:top w:val="nil"/>
              <w:left w:val="nil"/>
              <w:bottom w:val="single" w:sz="4" w:space="0" w:color="auto"/>
              <w:right w:val="single" w:sz="4" w:space="0" w:color="auto"/>
            </w:tcBorders>
            <w:shd w:val="clear" w:color="000000" w:fill="FFFFFF"/>
            <w:noWrap/>
            <w:vAlign w:val="center"/>
            <w:hideMark/>
          </w:tcPr>
          <w:p w:rsidR="008F05A8" w:rsidRPr="008F05A8" w:rsidRDefault="00BB4B74" w:rsidP="005459BF">
            <w:pPr>
              <w:spacing w:after="0" w:line="240" w:lineRule="auto"/>
              <w:contextualSpacing/>
              <w:jc w:val="center"/>
              <w:rPr>
                <w:rFonts w:ascii="Calibri" w:eastAsia="Times New Roman" w:hAnsi="Calibri" w:cs="Calibri"/>
                <w:color w:val="000000"/>
                <w:lang w:eastAsia="en-IN"/>
              </w:rPr>
            </w:pPr>
            <w:r>
              <w:rPr>
                <w:rFonts w:ascii="Calibri" w:eastAsia="Times New Roman" w:hAnsi="Calibri" w:cs="Calibri"/>
                <w:color w:val="000000"/>
                <w:lang w:eastAsia="en-IN"/>
              </w:rPr>
              <w:t>0.1</w:t>
            </w:r>
          </w:p>
        </w:tc>
      </w:tr>
      <w:tr w:rsidR="008F05A8" w:rsidRPr="008F05A8" w:rsidTr="00F23AC5">
        <w:trPr>
          <w:trHeight w:val="300"/>
        </w:trPr>
        <w:tc>
          <w:tcPr>
            <w:tcW w:w="567" w:type="dxa"/>
            <w:tcBorders>
              <w:top w:val="nil"/>
              <w:left w:val="single" w:sz="4" w:space="0" w:color="auto"/>
              <w:bottom w:val="single" w:sz="4" w:space="0" w:color="auto"/>
              <w:right w:val="single" w:sz="4" w:space="0" w:color="auto"/>
            </w:tcBorders>
            <w:shd w:val="clear" w:color="000000" w:fill="FFFFFF"/>
            <w:vAlign w:val="bottom"/>
          </w:tcPr>
          <w:p w:rsidR="008F05A8" w:rsidRPr="00AE0294" w:rsidRDefault="008F05A8" w:rsidP="001043F2">
            <w:pPr>
              <w:spacing w:after="0" w:line="240" w:lineRule="auto"/>
              <w:contextualSpacing/>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7</w:t>
            </w:r>
          </w:p>
        </w:tc>
        <w:tc>
          <w:tcPr>
            <w:tcW w:w="3260" w:type="dxa"/>
            <w:tcBorders>
              <w:top w:val="nil"/>
              <w:left w:val="single" w:sz="4" w:space="0" w:color="auto"/>
              <w:bottom w:val="single" w:sz="4" w:space="0" w:color="auto"/>
              <w:right w:val="single" w:sz="4" w:space="0" w:color="auto"/>
            </w:tcBorders>
            <w:shd w:val="clear" w:color="000000" w:fill="FFFFFF"/>
            <w:noWrap/>
            <w:vAlign w:val="center"/>
            <w:hideMark/>
          </w:tcPr>
          <w:p w:rsidR="008F05A8" w:rsidRPr="008F05A8" w:rsidRDefault="008F05A8" w:rsidP="001043F2">
            <w:pPr>
              <w:spacing w:after="0" w:line="240" w:lineRule="auto"/>
              <w:contextualSpacing/>
              <w:rPr>
                <w:rFonts w:ascii="Calibri" w:eastAsia="Times New Roman" w:hAnsi="Calibri" w:cs="Calibri"/>
                <w:color w:val="000000"/>
                <w:lang w:eastAsia="en-IN"/>
              </w:rPr>
            </w:pPr>
            <w:r w:rsidRPr="00AE0294">
              <w:rPr>
                <w:rFonts w:eastAsia="Times New Roman" w:cstheme="minorHAnsi"/>
                <w:color w:val="000000"/>
                <w:sz w:val="24"/>
                <w:szCs w:val="24"/>
                <w:lang w:eastAsia="en-IN"/>
              </w:rPr>
              <w:t>Grand Balance</w:t>
            </w:r>
          </w:p>
        </w:tc>
        <w:tc>
          <w:tcPr>
            <w:tcW w:w="1120" w:type="dxa"/>
            <w:tcBorders>
              <w:top w:val="nil"/>
              <w:left w:val="nil"/>
              <w:bottom w:val="single" w:sz="4" w:space="0" w:color="auto"/>
              <w:right w:val="single" w:sz="4" w:space="0" w:color="auto"/>
            </w:tcBorders>
            <w:shd w:val="clear" w:color="000000" w:fill="FFFFFF"/>
            <w:noWrap/>
            <w:vAlign w:val="center"/>
            <w:hideMark/>
          </w:tcPr>
          <w:p w:rsidR="008F05A8" w:rsidRPr="008F05A8" w:rsidRDefault="00BB4B74" w:rsidP="005459BF">
            <w:pPr>
              <w:spacing w:after="0" w:line="240" w:lineRule="auto"/>
              <w:contextualSpacing/>
              <w:jc w:val="center"/>
              <w:rPr>
                <w:rFonts w:ascii="Calibri" w:eastAsia="Times New Roman" w:hAnsi="Calibri" w:cs="Calibri"/>
                <w:color w:val="000000"/>
                <w:lang w:eastAsia="en-IN"/>
              </w:rPr>
            </w:pPr>
            <w:r>
              <w:rPr>
                <w:rFonts w:ascii="Calibri" w:eastAsia="Times New Roman" w:hAnsi="Calibri" w:cs="Calibri"/>
                <w:color w:val="000000"/>
                <w:lang w:eastAsia="en-IN"/>
              </w:rPr>
              <w:t>1.0</w:t>
            </w:r>
          </w:p>
        </w:tc>
        <w:tc>
          <w:tcPr>
            <w:tcW w:w="1120" w:type="dxa"/>
            <w:tcBorders>
              <w:top w:val="nil"/>
              <w:left w:val="nil"/>
              <w:bottom w:val="single" w:sz="4" w:space="0" w:color="auto"/>
              <w:right w:val="single" w:sz="4" w:space="0" w:color="auto"/>
            </w:tcBorders>
            <w:shd w:val="clear" w:color="000000" w:fill="FFFFFF"/>
            <w:noWrap/>
            <w:vAlign w:val="center"/>
            <w:hideMark/>
          </w:tcPr>
          <w:p w:rsidR="008F05A8" w:rsidRPr="008F05A8" w:rsidRDefault="00BB4B74" w:rsidP="005459BF">
            <w:pPr>
              <w:spacing w:after="0" w:line="240" w:lineRule="auto"/>
              <w:contextualSpacing/>
              <w:jc w:val="center"/>
              <w:rPr>
                <w:rFonts w:ascii="Calibri" w:eastAsia="Times New Roman" w:hAnsi="Calibri" w:cs="Calibri"/>
                <w:color w:val="000000"/>
                <w:lang w:eastAsia="en-IN"/>
              </w:rPr>
            </w:pPr>
            <w:r>
              <w:rPr>
                <w:rFonts w:ascii="Calibri" w:eastAsia="Times New Roman" w:hAnsi="Calibri" w:cs="Calibri"/>
                <w:color w:val="000000"/>
                <w:lang w:eastAsia="en-IN"/>
              </w:rPr>
              <w:t>1.1</w:t>
            </w:r>
          </w:p>
        </w:tc>
        <w:tc>
          <w:tcPr>
            <w:tcW w:w="1162" w:type="dxa"/>
            <w:tcBorders>
              <w:top w:val="nil"/>
              <w:left w:val="nil"/>
              <w:bottom w:val="single" w:sz="4" w:space="0" w:color="auto"/>
              <w:right w:val="single" w:sz="4" w:space="0" w:color="auto"/>
            </w:tcBorders>
            <w:shd w:val="clear" w:color="000000" w:fill="FFFFFF"/>
            <w:noWrap/>
            <w:vAlign w:val="center"/>
            <w:hideMark/>
          </w:tcPr>
          <w:p w:rsidR="008F05A8" w:rsidRPr="008F05A8" w:rsidRDefault="001043F2" w:rsidP="005459BF">
            <w:pPr>
              <w:spacing w:after="0" w:line="240" w:lineRule="auto"/>
              <w:contextualSpacing/>
              <w:jc w:val="center"/>
              <w:rPr>
                <w:rFonts w:ascii="Calibri" w:eastAsia="Times New Roman" w:hAnsi="Calibri" w:cs="Calibri"/>
                <w:color w:val="000000"/>
                <w:lang w:eastAsia="en-IN"/>
              </w:rPr>
            </w:pPr>
            <w:r>
              <w:rPr>
                <w:rFonts w:ascii="Calibri" w:eastAsia="Times New Roman" w:hAnsi="Calibri" w:cs="Calibri"/>
                <w:color w:val="000000"/>
                <w:lang w:eastAsia="en-IN"/>
              </w:rPr>
              <w:t>1.3</w:t>
            </w:r>
          </w:p>
        </w:tc>
      </w:tr>
    </w:tbl>
    <w:p w:rsidR="00590736" w:rsidRDefault="00590736" w:rsidP="005C42D0">
      <w:pPr>
        <w:pStyle w:val="Heading2"/>
        <w:ind w:left="1134" w:hanging="1134"/>
        <w:jc w:val="both"/>
        <w:rPr>
          <w:rFonts w:asciiTheme="minorHAnsi" w:hAnsiTheme="minorHAnsi" w:cstheme="minorHAnsi"/>
          <w:sz w:val="24"/>
          <w:szCs w:val="24"/>
        </w:rPr>
      </w:pPr>
    </w:p>
    <w:p w:rsidR="009141CD" w:rsidRPr="00AE0294" w:rsidRDefault="007A3406" w:rsidP="005C42D0">
      <w:pPr>
        <w:pStyle w:val="Heading2"/>
        <w:ind w:left="1134" w:hanging="1134"/>
        <w:jc w:val="both"/>
        <w:rPr>
          <w:rFonts w:asciiTheme="minorHAnsi" w:hAnsiTheme="minorHAnsi" w:cstheme="minorHAnsi"/>
          <w:sz w:val="24"/>
          <w:szCs w:val="24"/>
        </w:rPr>
      </w:pPr>
      <w:r w:rsidRPr="00AE0294">
        <w:rPr>
          <w:rFonts w:asciiTheme="minorHAnsi" w:hAnsiTheme="minorHAnsi" w:cstheme="minorHAnsi"/>
          <w:sz w:val="24"/>
          <w:szCs w:val="24"/>
        </w:rPr>
        <w:t>Issue -2</w:t>
      </w:r>
      <w:r w:rsidR="009141CD" w:rsidRPr="00AE0294">
        <w:rPr>
          <w:rFonts w:asciiTheme="minorHAnsi" w:hAnsiTheme="minorHAnsi" w:cstheme="minorHAnsi"/>
          <w:sz w:val="24"/>
          <w:szCs w:val="24"/>
        </w:rPr>
        <w:t>.</w:t>
      </w:r>
      <w:r w:rsidR="0090154C" w:rsidRPr="00AE0294">
        <w:rPr>
          <w:rFonts w:asciiTheme="minorHAnsi" w:hAnsiTheme="minorHAnsi" w:cstheme="minorHAnsi"/>
          <w:sz w:val="24"/>
          <w:szCs w:val="24"/>
        </w:rPr>
        <w:t>5</w:t>
      </w:r>
      <w:r w:rsidR="009141CD" w:rsidRPr="00AE0294">
        <w:rPr>
          <w:rFonts w:asciiTheme="minorHAnsi" w:hAnsiTheme="minorHAnsi" w:cstheme="minorHAnsi"/>
          <w:sz w:val="24"/>
          <w:szCs w:val="24"/>
        </w:rPr>
        <w:t xml:space="preserve">: </w:t>
      </w:r>
      <w:r w:rsidR="00D633F0" w:rsidRPr="00AE0294">
        <w:rPr>
          <w:rFonts w:asciiTheme="minorHAnsi" w:hAnsiTheme="minorHAnsi" w:cstheme="minorHAnsi"/>
          <w:sz w:val="24"/>
          <w:szCs w:val="24"/>
        </w:rPr>
        <w:t xml:space="preserve">True-up of </w:t>
      </w:r>
      <w:r w:rsidR="005C42D0" w:rsidRPr="00AE0294">
        <w:rPr>
          <w:rFonts w:asciiTheme="minorHAnsi" w:hAnsiTheme="minorHAnsi" w:cstheme="minorHAnsi"/>
          <w:sz w:val="24"/>
          <w:szCs w:val="24"/>
        </w:rPr>
        <w:t>E</w:t>
      </w:r>
      <w:r w:rsidR="009141CD" w:rsidRPr="00AE0294">
        <w:rPr>
          <w:rFonts w:asciiTheme="minorHAnsi" w:hAnsiTheme="minorHAnsi" w:cstheme="minorHAnsi"/>
          <w:sz w:val="24"/>
          <w:szCs w:val="24"/>
        </w:rPr>
        <w:t xml:space="preserve">mployee expenses </w:t>
      </w:r>
      <w:r w:rsidR="00D633F0" w:rsidRPr="00AE0294">
        <w:rPr>
          <w:rFonts w:asciiTheme="minorHAnsi" w:hAnsiTheme="minorHAnsi" w:cstheme="minorHAnsi"/>
          <w:sz w:val="24"/>
          <w:szCs w:val="24"/>
        </w:rPr>
        <w:t xml:space="preserve">for FY 2007-08 to FY 2011-12 to the extent of </w:t>
      </w:r>
      <w:r w:rsidR="009141CD" w:rsidRPr="00AE0294">
        <w:rPr>
          <w:rFonts w:asciiTheme="minorHAnsi" w:hAnsiTheme="minorHAnsi" w:cstheme="minorHAnsi"/>
          <w:sz w:val="24"/>
          <w:szCs w:val="24"/>
        </w:rPr>
        <w:t>increase in consumer base:</w:t>
      </w:r>
    </w:p>
    <w:p w:rsidR="00B856B1" w:rsidRPr="00AE0294" w:rsidRDefault="00B856B1" w:rsidP="007D37C9">
      <w:pPr>
        <w:pStyle w:val="ARRB11"/>
        <w:numPr>
          <w:ilvl w:val="1"/>
          <w:numId w:val="2"/>
        </w:numPr>
        <w:tabs>
          <w:tab w:val="clear" w:pos="1440"/>
        </w:tabs>
        <w:ind w:left="993" w:hanging="993"/>
        <w:rPr>
          <w:szCs w:val="24"/>
        </w:rPr>
      </w:pPr>
      <w:bookmarkStart w:id="19" w:name="_Toc499821203"/>
      <w:r w:rsidRPr="00AE0294">
        <w:rPr>
          <w:szCs w:val="24"/>
        </w:rPr>
        <w:t xml:space="preserve">This issue has been allowed by the Hon’ble </w:t>
      </w:r>
      <w:r w:rsidR="00D43802" w:rsidRPr="00AE0294">
        <w:rPr>
          <w:szCs w:val="24"/>
        </w:rPr>
        <w:t xml:space="preserve">APTEL </w:t>
      </w:r>
      <w:r w:rsidRPr="00AE0294">
        <w:rPr>
          <w:szCs w:val="24"/>
        </w:rPr>
        <w:t xml:space="preserve">in Order dated </w:t>
      </w:r>
      <w:r w:rsidR="00D43802" w:rsidRPr="00AE0294">
        <w:rPr>
          <w:szCs w:val="24"/>
        </w:rPr>
        <w:t xml:space="preserve">06.10.2009 and has attained finality vide Hon’ble SC Order dated 01.12.2021 (as the APTEL Order was not challenged by the Hon’ble Commission on this issue) </w:t>
      </w:r>
      <w:r w:rsidRPr="00AE0294">
        <w:rPr>
          <w:szCs w:val="24"/>
        </w:rPr>
        <w:t>and is yet to implemented in letter and spirit.</w:t>
      </w:r>
      <w:r w:rsidR="00D43802" w:rsidRPr="00AE0294">
        <w:rPr>
          <w:szCs w:val="24"/>
        </w:rPr>
        <w:t xml:space="preserve"> </w:t>
      </w:r>
    </w:p>
    <w:p w:rsidR="009141CD" w:rsidRPr="00AE0294" w:rsidRDefault="009141CD" w:rsidP="007D37C9">
      <w:pPr>
        <w:pStyle w:val="ARRB11"/>
        <w:numPr>
          <w:ilvl w:val="1"/>
          <w:numId w:val="2"/>
        </w:numPr>
        <w:tabs>
          <w:tab w:val="clear" w:pos="1440"/>
        </w:tabs>
        <w:ind w:left="993" w:hanging="993"/>
        <w:rPr>
          <w:szCs w:val="24"/>
          <w:lang w:bidi="te-IN"/>
        </w:rPr>
      </w:pPr>
      <w:bookmarkStart w:id="20" w:name="_Toc499821204"/>
      <w:bookmarkEnd w:id="19"/>
      <w:r w:rsidRPr="00AE0294">
        <w:rPr>
          <w:szCs w:val="24"/>
          <w:lang w:bidi="te-IN"/>
        </w:rPr>
        <w:t>The Hon’ble APTEL in Judgment dated October 6, 2009 (Appeal No. 36 of 2008) has held that the Delhi Commission should true up employee expense to the extent of increase caused by increase in consumer base. The relevant extracts are reproduced below:</w:t>
      </w:r>
      <w:bookmarkEnd w:id="20"/>
    </w:p>
    <w:p w:rsidR="009141CD" w:rsidRPr="00AE0294" w:rsidRDefault="009141CD" w:rsidP="007F31AC">
      <w:pPr>
        <w:widowControl w:val="0"/>
        <w:adjustRightInd w:val="0"/>
        <w:spacing w:line="276" w:lineRule="auto"/>
        <w:ind w:left="1440"/>
        <w:contextualSpacing/>
        <w:jc w:val="both"/>
        <w:textAlignment w:val="baseline"/>
        <w:rPr>
          <w:rFonts w:cstheme="minorHAnsi"/>
          <w:i/>
          <w:sz w:val="24"/>
          <w:szCs w:val="24"/>
          <w:lang w:bidi="te-IN"/>
        </w:rPr>
      </w:pPr>
      <w:r w:rsidRPr="00AE0294">
        <w:rPr>
          <w:rFonts w:cstheme="minorHAnsi"/>
          <w:i/>
          <w:sz w:val="24"/>
          <w:szCs w:val="24"/>
          <w:lang w:bidi="te-IN"/>
        </w:rPr>
        <w:t xml:space="preserve">“74) Having gone through the impugned order we do find that </w:t>
      </w:r>
      <w:r w:rsidRPr="00AE0294">
        <w:rPr>
          <w:rFonts w:cstheme="minorHAnsi"/>
          <w:b/>
          <w:i/>
          <w:sz w:val="24"/>
          <w:szCs w:val="24"/>
          <w:lang w:bidi="te-IN"/>
        </w:rPr>
        <w:t>the Commission has not considered the issue of possible increase in the number of employees consequent on increase in the consumer base</w:t>
      </w:r>
      <w:r w:rsidRPr="00AE0294">
        <w:rPr>
          <w:rFonts w:cstheme="minorHAnsi"/>
          <w:i/>
          <w:sz w:val="24"/>
          <w:szCs w:val="24"/>
          <w:lang w:bidi="te-IN"/>
        </w:rPr>
        <w:t>.</w:t>
      </w:r>
      <w:r w:rsidR="007F31AC" w:rsidRPr="00AE0294">
        <w:rPr>
          <w:rFonts w:cstheme="minorHAnsi"/>
          <w:i/>
          <w:sz w:val="24"/>
          <w:szCs w:val="24"/>
          <w:lang w:bidi="te-IN"/>
        </w:rPr>
        <w:t>.</w:t>
      </w:r>
      <w:r w:rsidRPr="00AE0294">
        <w:rPr>
          <w:rFonts w:cstheme="minorHAnsi"/>
          <w:i/>
          <w:sz w:val="24"/>
          <w:szCs w:val="24"/>
          <w:lang w:bidi="te-IN"/>
        </w:rPr>
        <w:t xml:space="preserve">. </w:t>
      </w:r>
    </w:p>
    <w:p w:rsidR="009141CD" w:rsidRPr="00AE0294" w:rsidRDefault="009141CD" w:rsidP="007F31AC">
      <w:pPr>
        <w:widowControl w:val="0"/>
        <w:adjustRightInd w:val="0"/>
        <w:spacing w:line="276" w:lineRule="auto"/>
        <w:ind w:left="1440"/>
        <w:contextualSpacing/>
        <w:jc w:val="both"/>
        <w:textAlignment w:val="baseline"/>
        <w:rPr>
          <w:rFonts w:cstheme="minorHAnsi"/>
          <w:i/>
          <w:sz w:val="24"/>
          <w:szCs w:val="24"/>
          <w:lang w:bidi="te-IN"/>
        </w:rPr>
      </w:pPr>
      <w:r w:rsidRPr="00AE0294">
        <w:rPr>
          <w:rFonts w:cstheme="minorHAnsi"/>
          <w:i/>
          <w:sz w:val="24"/>
          <w:szCs w:val="24"/>
          <w:lang w:bidi="te-IN"/>
        </w:rPr>
        <w:t xml:space="preserve">75) … We thus conclude the issue of employees’ expenses by saying that the: The Commission shall allow the expenses incurred towards the retirement benefit of SVRS optees pending decision of the Actuarial Arbitration Tribunal and </w:t>
      </w:r>
      <w:r w:rsidRPr="00AE0294">
        <w:rPr>
          <w:rFonts w:cstheme="minorHAnsi"/>
          <w:b/>
          <w:i/>
          <w:sz w:val="24"/>
          <w:szCs w:val="24"/>
          <w:lang w:bidi="te-IN"/>
        </w:rPr>
        <w:t>shall true up the employee expenses to the extent of increase caused by increase in the consumer base</w:t>
      </w:r>
      <w:r w:rsidRPr="00AE0294">
        <w:rPr>
          <w:rFonts w:cstheme="minorHAnsi"/>
          <w:i/>
          <w:sz w:val="24"/>
          <w:szCs w:val="24"/>
          <w:lang w:bidi="te-IN"/>
        </w:rPr>
        <w:t>…… “</w:t>
      </w:r>
    </w:p>
    <w:p w:rsidR="009141CD" w:rsidRPr="00AE0294" w:rsidRDefault="009141CD" w:rsidP="007D37C9">
      <w:pPr>
        <w:pStyle w:val="ARRB11"/>
        <w:numPr>
          <w:ilvl w:val="1"/>
          <w:numId w:val="2"/>
        </w:numPr>
        <w:tabs>
          <w:tab w:val="clear" w:pos="1440"/>
        </w:tabs>
        <w:ind w:left="993" w:hanging="993"/>
        <w:rPr>
          <w:szCs w:val="24"/>
          <w:lang w:bidi="te-IN"/>
        </w:rPr>
      </w:pPr>
      <w:bookmarkStart w:id="21" w:name="_Toc499821205"/>
      <w:r w:rsidRPr="00AE0294">
        <w:rPr>
          <w:szCs w:val="24"/>
          <w:lang w:bidi="te-IN"/>
        </w:rPr>
        <w:t>The above Judgement has attained finality as the Hon’ble Supreme Court vide its Order dated 01.12.2021 has inter-alia dismissed the Civil Appeals with a direction to implement the above me</w:t>
      </w:r>
      <w:r w:rsidR="00F47F3B" w:rsidRPr="00AE0294">
        <w:rPr>
          <w:szCs w:val="24"/>
          <w:lang w:bidi="te-IN"/>
        </w:rPr>
        <w:t>ntioned APTEL Judgement dated 06</w:t>
      </w:r>
      <w:r w:rsidRPr="00AE0294">
        <w:rPr>
          <w:szCs w:val="24"/>
          <w:lang w:bidi="te-IN"/>
        </w:rPr>
        <w:t xml:space="preserve">.10.2009 within a period of 3 months. </w:t>
      </w:r>
    </w:p>
    <w:p w:rsidR="007C2DE1" w:rsidRPr="00AE0294" w:rsidRDefault="007C2DE1" w:rsidP="007D37C9">
      <w:pPr>
        <w:pStyle w:val="ARRB11"/>
        <w:numPr>
          <w:ilvl w:val="1"/>
          <w:numId w:val="2"/>
        </w:numPr>
        <w:tabs>
          <w:tab w:val="clear" w:pos="1440"/>
        </w:tabs>
        <w:ind w:left="993" w:hanging="993"/>
        <w:rPr>
          <w:szCs w:val="24"/>
          <w:lang w:bidi="te-IN"/>
        </w:rPr>
      </w:pPr>
      <w:r w:rsidRPr="00AE0294">
        <w:rPr>
          <w:szCs w:val="24"/>
          <w:lang w:bidi="te-IN"/>
        </w:rPr>
        <w:t xml:space="preserve">In the Petitioner’s licensed area of supply, consumer base has increased by 37% in FY 12 as compared to FY 2006-07 (FY 07: 8.9 Lakhs, FY 12: 12.3 Lakhs) and units billed have grown by 58 % in FY 2011-12 as compared to FY 2006-07 (Units billed </w:t>
      </w:r>
      <w:r w:rsidRPr="00AE0294">
        <w:rPr>
          <w:szCs w:val="24"/>
          <w:lang w:bidi="te-IN"/>
        </w:rPr>
        <w:lastRenderedPageBreak/>
        <w:t>2007: 359 MU, 2012: 4,844 MU). As per the Hon’ble ATE order, the Hon’ble Commission is required to factor in the increase in employee cost required due to increase in consumer base.</w:t>
      </w:r>
    </w:p>
    <w:p w:rsidR="009141CD" w:rsidRPr="00AE0294" w:rsidRDefault="009141CD" w:rsidP="007D37C9">
      <w:pPr>
        <w:pStyle w:val="ARRB11"/>
        <w:numPr>
          <w:ilvl w:val="1"/>
          <w:numId w:val="2"/>
        </w:numPr>
        <w:tabs>
          <w:tab w:val="clear" w:pos="1440"/>
        </w:tabs>
        <w:ind w:left="993" w:hanging="993"/>
        <w:rPr>
          <w:szCs w:val="24"/>
          <w:lang w:bidi="te-IN"/>
        </w:rPr>
      </w:pPr>
      <w:r w:rsidRPr="00AE0294">
        <w:rPr>
          <w:szCs w:val="24"/>
          <w:lang w:bidi="te-IN"/>
        </w:rPr>
        <w:t>Further, the Hon’ble Commission in Tariff Order dated July 31, 2013 stated as under:</w:t>
      </w:r>
      <w:bookmarkEnd w:id="21"/>
    </w:p>
    <w:p w:rsidR="009141CD" w:rsidRPr="00AE0294" w:rsidRDefault="009141CD" w:rsidP="00F47F3B">
      <w:pPr>
        <w:widowControl w:val="0"/>
        <w:adjustRightInd w:val="0"/>
        <w:spacing w:line="276" w:lineRule="auto"/>
        <w:ind w:left="1440"/>
        <w:contextualSpacing/>
        <w:jc w:val="both"/>
        <w:textAlignment w:val="baseline"/>
        <w:rPr>
          <w:rFonts w:cstheme="minorHAnsi"/>
          <w:i/>
          <w:sz w:val="24"/>
          <w:szCs w:val="24"/>
          <w:lang w:bidi="te-IN"/>
        </w:rPr>
      </w:pPr>
      <w:r w:rsidRPr="00AE0294">
        <w:rPr>
          <w:rFonts w:cstheme="minorHAnsi"/>
          <w:i/>
          <w:sz w:val="24"/>
          <w:szCs w:val="24"/>
          <w:lang w:bidi="te-IN"/>
        </w:rPr>
        <w:t>“3.95 As regard true up of the employees expenses to the extent of increased cost by increase in consumer base and salary hike comparable to sixth pay Commission’s recommendations for employees other than erstwhile DVB employees, the Commission has initiated a benchmarking exercise for employee expenses taking into account the increased consumer base as well as increase in sales. This would also take into account the salary hike of employees other than the erstwhile DVB employees. The impact will be given once the benchmarking exercise is completed.”</w:t>
      </w:r>
    </w:p>
    <w:p w:rsidR="009141CD" w:rsidRPr="00AE0294" w:rsidRDefault="009141CD" w:rsidP="007D37C9">
      <w:pPr>
        <w:pStyle w:val="ARRB11"/>
        <w:numPr>
          <w:ilvl w:val="1"/>
          <w:numId w:val="2"/>
        </w:numPr>
        <w:tabs>
          <w:tab w:val="clear" w:pos="1440"/>
        </w:tabs>
        <w:ind w:left="993" w:hanging="993"/>
        <w:rPr>
          <w:szCs w:val="24"/>
          <w:lang w:bidi="te-IN"/>
        </w:rPr>
      </w:pPr>
      <w:bookmarkStart w:id="22" w:name="_Toc499821206"/>
      <w:r w:rsidRPr="00AE0294">
        <w:rPr>
          <w:szCs w:val="24"/>
        </w:rPr>
        <w:t>The</w:t>
      </w:r>
      <w:r w:rsidRPr="00AE0294">
        <w:rPr>
          <w:szCs w:val="24"/>
          <w:lang w:bidi="te-IN"/>
        </w:rPr>
        <w:t xml:space="preserve"> aforesaid benchmarking exercise has not found place in any of the tariff orders issued after July 31, 2013.</w:t>
      </w:r>
      <w:bookmarkEnd w:id="22"/>
    </w:p>
    <w:p w:rsidR="007C2DE1" w:rsidRPr="00AE0294" w:rsidRDefault="003073DA" w:rsidP="007D37C9">
      <w:pPr>
        <w:pStyle w:val="ARRB11"/>
        <w:numPr>
          <w:ilvl w:val="1"/>
          <w:numId w:val="2"/>
        </w:numPr>
        <w:tabs>
          <w:tab w:val="clear" w:pos="1440"/>
        </w:tabs>
        <w:ind w:left="993" w:hanging="993"/>
        <w:rPr>
          <w:szCs w:val="24"/>
          <w:lang w:bidi="te-IN"/>
        </w:rPr>
      </w:pPr>
      <w:r w:rsidRPr="00AE0294">
        <w:rPr>
          <w:szCs w:val="24"/>
          <w:lang w:bidi="te-IN"/>
        </w:rPr>
        <w:t xml:space="preserve">It is imperative to note that the increase in employee cost </w:t>
      </w:r>
      <w:r w:rsidR="00012AD5" w:rsidRPr="00AE0294">
        <w:rPr>
          <w:szCs w:val="24"/>
          <w:lang w:bidi="te-IN"/>
        </w:rPr>
        <w:t xml:space="preserve">has been sought on normative basis based </w:t>
      </w:r>
      <w:r w:rsidRPr="00AE0294">
        <w:rPr>
          <w:szCs w:val="24"/>
          <w:lang w:bidi="te-IN"/>
        </w:rPr>
        <w:t xml:space="preserve">on </w:t>
      </w:r>
      <w:r w:rsidR="00012AD5" w:rsidRPr="00AE0294">
        <w:rPr>
          <w:szCs w:val="24"/>
          <w:lang w:bidi="te-IN"/>
        </w:rPr>
        <w:t xml:space="preserve">the actual increase </w:t>
      </w:r>
      <w:r w:rsidRPr="00AE0294">
        <w:rPr>
          <w:szCs w:val="24"/>
          <w:lang w:bidi="te-IN"/>
        </w:rPr>
        <w:t xml:space="preserve">in consumer base and </w:t>
      </w:r>
      <w:r w:rsidR="00012AD5" w:rsidRPr="00AE0294">
        <w:rPr>
          <w:szCs w:val="24"/>
          <w:lang w:bidi="te-IN"/>
        </w:rPr>
        <w:t xml:space="preserve">not based on actual </w:t>
      </w:r>
      <w:r w:rsidRPr="00AE0294">
        <w:rPr>
          <w:szCs w:val="24"/>
          <w:lang w:bidi="te-IN"/>
        </w:rPr>
        <w:t xml:space="preserve">increase in number of </w:t>
      </w:r>
      <w:r w:rsidR="00012AD5" w:rsidRPr="00AE0294">
        <w:rPr>
          <w:szCs w:val="24"/>
          <w:lang w:bidi="te-IN"/>
        </w:rPr>
        <w:t>employees, as also upheld by Hon’ble APTEL in the aforesaid judgment.</w:t>
      </w:r>
    </w:p>
    <w:p w:rsidR="009141CD" w:rsidRPr="00AE0294" w:rsidRDefault="009141CD" w:rsidP="007D37C9">
      <w:pPr>
        <w:pStyle w:val="ARRB11"/>
        <w:numPr>
          <w:ilvl w:val="1"/>
          <w:numId w:val="2"/>
        </w:numPr>
        <w:tabs>
          <w:tab w:val="clear" w:pos="1440"/>
        </w:tabs>
        <w:ind w:left="993" w:hanging="993"/>
        <w:rPr>
          <w:szCs w:val="24"/>
          <w:lang w:bidi="te-IN"/>
        </w:rPr>
      </w:pPr>
      <w:bookmarkStart w:id="23" w:name="_Toc499821209"/>
      <w:bookmarkStart w:id="24" w:name="_Toc499821208"/>
      <w:r w:rsidRPr="00AE0294">
        <w:rPr>
          <w:szCs w:val="24"/>
          <w:lang w:bidi="te-IN"/>
        </w:rPr>
        <w:t>In view of above submissions, the impact on account of increase in employee expenses due to increase in number of consumer is tabulated below:</w:t>
      </w:r>
    </w:p>
    <w:p w:rsidR="00AE14DA" w:rsidRPr="00AE0294" w:rsidRDefault="00AE14DA" w:rsidP="00AE14DA">
      <w:pPr>
        <w:pStyle w:val="Caption"/>
        <w:spacing w:after="0"/>
        <w:ind w:left="644"/>
        <w:jc w:val="center"/>
        <w:rPr>
          <w:rFonts w:cstheme="minorHAnsi"/>
          <w:b/>
          <w:i w:val="0"/>
          <w:color w:val="000000" w:themeColor="text1"/>
          <w:sz w:val="24"/>
          <w:szCs w:val="24"/>
          <w:lang w:bidi="te-IN"/>
        </w:rPr>
      </w:pPr>
      <w:bookmarkStart w:id="25" w:name="_Toc120734117"/>
      <w:r w:rsidRPr="00AE0294">
        <w:rPr>
          <w:rFonts w:cstheme="minorHAnsi"/>
          <w:b/>
          <w:i w:val="0"/>
          <w:color w:val="000000" w:themeColor="text1"/>
          <w:sz w:val="24"/>
          <w:szCs w:val="24"/>
        </w:rPr>
        <w:t xml:space="preserve">Table 3B </w:t>
      </w:r>
      <w:r w:rsidRPr="00AE0294">
        <w:rPr>
          <w:rFonts w:cstheme="minorHAnsi"/>
          <w:b/>
          <w:i w:val="0"/>
          <w:color w:val="000000" w:themeColor="text1"/>
          <w:sz w:val="24"/>
          <w:szCs w:val="24"/>
        </w:rPr>
        <w:fldChar w:fldCharType="begin"/>
      </w:r>
      <w:r w:rsidRPr="00AE0294">
        <w:rPr>
          <w:rFonts w:cstheme="minorHAnsi"/>
          <w:b/>
          <w:i w:val="0"/>
          <w:color w:val="000000" w:themeColor="text1"/>
          <w:sz w:val="24"/>
          <w:szCs w:val="24"/>
        </w:rPr>
        <w:instrText xml:space="preserve"> SEQ Table_3B \* ARABIC </w:instrText>
      </w:r>
      <w:r w:rsidRPr="00AE0294">
        <w:rPr>
          <w:rFonts w:cstheme="minorHAnsi"/>
          <w:b/>
          <w:i w:val="0"/>
          <w:color w:val="000000" w:themeColor="text1"/>
          <w:sz w:val="24"/>
          <w:szCs w:val="24"/>
        </w:rPr>
        <w:fldChar w:fldCharType="separate"/>
      </w:r>
      <w:r w:rsidR="006D2E03">
        <w:rPr>
          <w:rFonts w:cstheme="minorHAnsi"/>
          <w:b/>
          <w:i w:val="0"/>
          <w:noProof/>
          <w:color w:val="000000" w:themeColor="text1"/>
          <w:sz w:val="24"/>
          <w:szCs w:val="24"/>
        </w:rPr>
        <w:t>9</w:t>
      </w:r>
      <w:r w:rsidRPr="00AE0294">
        <w:rPr>
          <w:rFonts w:cstheme="minorHAnsi"/>
          <w:b/>
          <w:i w:val="0"/>
          <w:color w:val="000000" w:themeColor="text1"/>
          <w:sz w:val="24"/>
          <w:szCs w:val="24"/>
        </w:rPr>
        <w:fldChar w:fldCharType="end"/>
      </w:r>
      <w:r w:rsidRPr="00AE0294">
        <w:rPr>
          <w:rFonts w:cstheme="minorHAnsi"/>
          <w:b/>
          <w:i w:val="0"/>
          <w:color w:val="000000" w:themeColor="text1"/>
          <w:sz w:val="24"/>
          <w:szCs w:val="24"/>
        </w:rPr>
        <w:t>: C</w:t>
      </w:r>
      <w:r w:rsidRPr="00AE0294">
        <w:rPr>
          <w:rStyle w:val="Heading2Char"/>
          <w:rFonts w:asciiTheme="minorHAnsi" w:eastAsiaTheme="minorHAnsi" w:hAnsiTheme="minorHAnsi" w:cstheme="minorHAnsi"/>
          <w:i w:val="0"/>
          <w:color w:val="000000" w:themeColor="text1"/>
          <w:sz w:val="24"/>
          <w:szCs w:val="24"/>
        </w:rPr>
        <w:t>omputation of increase in employee expenses based on number of consumers (₹ Crore)</w:t>
      </w:r>
      <w:bookmarkEnd w:id="25"/>
    </w:p>
    <w:tbl>
      <w:tblPr>
        <w:tblW w:w="8342" w:type="dxa"/>
        <w:tblInd w:w="562" w:type="dxa"/>
        <w:tblLook w:val="04A0" w:firstRow="1" w:lastRow="0" w:firstColumn="1" w:lastColumn="0" w:noHBand="0" w:noVBand="1"/>
      </w:tblPr>
      <w:tblGrid>
        <w:gridCol w:w="679"/>
        <w:gridCol w:w="1241"/>
        <w:gridCol w:w="1016"/>
        <w:gridCol w:w="1016"/>
        <w:gridCol w:w="1131"/>
        <w:gridCol w:w="1131"/>
        <w:gridCol w:w="1131"/>
        <w:gridCol w:w="1131"/>
      </w:tblGrid>
      <w:tr w:rsidR="009141CD" w:rsidRPr="00AE0294" w:rsidTr="00240120">
        <w:trPr>
          <w:trHeight w:val="300"/>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S. No</w:t>
            </w:r>
          </w:p>
        </w:tc>
        <w:tc>
          <w:tcPr>
            <w:tcW w:w="1215" w:type="dxa"/>
            <w:tcBorders>
              <w:top w:val="single" w:sz="4" w:space="0" w:color="auto"/>
              <w:left w:val="nil"/>
              <w:bottom w:val="single" w:sz="4" w:space="0" w:color="auto"/>
              <w:right w:val="single" w:sz="4" w:space="0" w:color="auto"/>
            </w:tcBorders>
            <w:shd w:val="clear" w:color="000000" w:fill="FFFFFF"/>
            <w:vAlign w:val="bottom"/>
            <w:hideMark/>
          </w:tcPr>
          <w:p w:rsidR="009141CD" w:rsidRPr="00AE0294" w:rsidRDefault="009141CD" w:rsidP="009141CD">
            <w:pPr>
              <w:spacing w:after="0" w:line="240" w:lineRule="auto"/>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Particulars</w:t>
            </w:r>
          </w:p>
        </w:tc>
        <w:tc>
          <w:tcPr>
            <w:tcW w:w="995" w:type="dxa"/>
            <w:tcBorders>
              <w:top w:val="single" w:sz="4" w:space="0" w:color="auto"/>
              <w:left w:val="nil"/>
              <w:bottom w:val="single" w:sz="4" w:space="0" w:color="auto"/>
              <w:right w:val="single" w:sz="4" w:space="0" w:color="auto"/>
            </w:tcBorders>
            <w:shd w:val="clear" w:color="000000" w:fill="FFFFFF"/>
            <w:noWrap/>
            <w:vAlign w:val="center"/>
            <w:hideMark/>
          </w:tcPr>
          <w:p w:rsidR="009141CD" w:rsidRPr="00AE0294" w:rsidRDefault="009141CD" w:rsidP="00240120">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FY 07</w:t>
            </w:r>
          </w:p>
        </w:tc>
        <w:tc>
          <w:tcPr>
            <w:tcW w:w="995" w:type="dxa"/>
            <w:tcBorders>
              <w:top w:val="single" w:sz="4" w:space="0" w:color="auto"/>
              <w:left w:val="nil"/>
              <w:bottom w:val="single" w:sz="4" w:space="0" w:color="auto"/>
              <w:right w:val="single" w:sz="4" w:space="0" w:color="auto"/>
            </w:tcBorders>
            <w:shd w:val="clear" w:color="000000" w:fill="FFFFFF"/>
            <w:noWrap/>
            <w:vAlign w:val="center"/>
            <w:hideMark/>
          </w:tcPr>
          <w:p w:rsidR="009141CD" w:rsidRPr="00AE0294" w:rsidRDefault="009141CD" w:rsidP="00240120">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FY 08</w:t>
            </w:r>
          </w:p>
        </w:tc>
        <w:tc>
          <w:tcPr>
            <w:tcW w:w="1107" w:type="dxa"/>
            <w:tcBorders>
              <w:top w:val="single" w:sz="4" w:space="0" w:color="auto"/>
              <w:left w:val="nil"/>
              <w:bottom w:val="single" w:sz="4" w:space="0" w:color="auto"/>
              <w:right w:val="single" w:sz="4" w:space="0" w:color="auto"/>
            </w:tcBorders>
            <w:shd w:val="clear" w:color="000000" w:fill="FFFFFF"/>
            <w:noWrap/>
            <w:vAlign w:val="center"/>
            <w:hideMark/>
          </w:tcPr>
          <w:p w:rsidR="009141CD" w:rsidRPr="00AE0294" w:rsidRDefault="009141CD" w:rsidP="00240120">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FY 09</w:t>
            </w:r>
          </w:p>
        </w:tc>
        <w:tc>
          <w:tcPr>
            <w:tcW w:w="1107" w:type="dxa"/>
            <w:tcBorders>
              <w:top w:val="single" w:sz="4" w:space="0" w:color="auto"/>
              <w:left w:val="nil"/>
              <w:bottom w:val="single" w:sz="4" w:space="0" w:color="auto"/>
              <w:right w:val="single" w:sz="4" w:space="0" w:color="auto"/>
            </w:tcBorders>
            <w:shd w:val="clear" w:color="000000" w:fill="FFFFFF"/>
            <w:noWrap/>
            <w:vAlign w:val="center"/>
            <w:hideMark/>
          </w:tcPr>
          <w:p w:rsidR="009141CD" w:rsidRPr="00AE0294" w:rsidRDefault="009141CD" w:rsidP="00240120">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FY 10</w:t>
            </w:r>
          </w:p>
        </w:tc>
        <w:tc>
          <w:tcPr>
            <w:tcW w:w="1107" w:type="dxa"/>
            <w:tcBorders>
              <w:top w:val="single" w:sz="4" w:space="0" w:color="auto"/>
              <w:left w:val="nil"/>
              <w:bottom w:val="single" w:sz="4" w:space="0" w:color="auto"/>
              <w:right w:val="single" w:sz="4" w:space="0" w:color="auto"/>
            </w:tcBorders>
            <w:shd w:val="clear" w:color="000000" w:fill="FFFFFF"/>
            <w:noWrap/>
            <w:vAlign w:val="center"/>
            <w:hideMark/>
          </w:tcPr>
          <w:p w:rsidR="009141CD" w:rsidRPr="00AE0294" w:rsidRDefault="009141CD" w:rsidP="00240120">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FY 11</w:t>
            </w:r>
          </w:p>
        </w:tc>
        <w:tc>
          <w:tcPr>
            <w:tcW w:w="1107" w:type="dxa"/>
            <w:tcBorders>
              <w:top w:val="single" w:sz="4" w:space="0" w:color="auto"/>
              <w:left w:val="nil"/>
              <w:bottom w:val="single" w:sz="4" w:space="0" w:color="auto"/>
              <w:right w:val="single" w:sz="4" w:space="0" w:color="auto"/>
            </w:tcBorders>
            <w:shd w:val="clear" w:color="000000" w:fill="FFFFFF"/>
            <w:noWrap/>
            <w:vAlign w:val="center"/>
            <w:hideMark/>
          </w:tcPr>
          <w:p w:rsidR="009141CD" w:rsidRPr="00AE0294" w:rsidRDefault="009141CD" w:rsidP="00240120">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FY 12</w:t>
            </w:r>
          </w:p>
        </w:tc>
      </w:tr>
      <w:tr w:rsidR="009141CD" w:rsidRPr="00AE0294" w:rsidTr="00240120">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w:t>
            </w:r>
          </w:p>
        </w:tc>
        <w:tc>
          <w:tcPr>
            <w:tcW w:w="1215" w:type="dxa"/>
            <w:tcBorders>
              <w:top w:val="nil"/>
              <w:left w:val="nil"/>
              <w:bottom w:val="single" w:sz="4" w:space="0" w:color="auto"/>
              <w:right w:val="single" w:sz="4" w:space="0" w:color="auto"/>
            </w:tcBorders>
            <w:shd w:val="clear" w:color="auto" w:fill="auto"/>
            <w:vAlign w:val="bottom"/>
            <w:hideMark/>
          </w:tcPr>
          <w:p w:rsidR="009141CD" w:rsidRPr="00AE0294" w:rsidRDefault="009141CD" w:rsidP="009141CD">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Employee Expenses in the base year</w:t>
            </w:r>
          </w:p>
        </w:tc>
        <w:tc>
          <w:tcPr>
            <w:tcW w:w="99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240120">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130</w:t>
            </w:r>
          </w:p>
        </w:tc>
        <w:tc>
          <w:tcPr>
            <w:tcW w:w="99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240120">
            <w:pPr>
              <w:spacing w:after="0" w:line="240" w:lineRule="auto"/>
              <w:jc w:val="center"/>
              <w:rPr>
                <w:rFonts w:eastAsia="Times New Roman" w:cstheme="minorHAnsi"/>
                <w:color w:val="000000"/>
                <w:sz w:val="24"/>
                <w:szCs w:val="24"/>
                <w:lang w:eastAsia="en-IN"/>
              </w:rPr>
            </w:pPr>
          </w:p>
        </w:tc>
        <w:tc>
          <w:tcPr>
            <w:tcW w:w="1107"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240120">
            <w:pPr>
              <w:spacing w:after="0" w:line="240" w:lineRule="auto"/>
              <w:jc w:val="center"/>
              <w:rPr>
                <w:rFonts w:eastAsia="Times New Roman" w:cstheme="minorHAnsi"/>
                <w:color w:val="000000"/>
                <w:sz w:val="24"/>
                <w:szCs w:val="24"/>
                <w:lang w:eastAsia="en-IN"/>
              </w:rPr>
            </w:pPr>
          </w:p>
        </w:tc>
        <w:tc>
          <w:tcPr>
            <w:tcW w:w="1107"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240120">
            <w:pPr>
              <w:spacing w:after="0" w:line="240" w:lineRule="auto"/>
              <w:jc w:val="center"/>
              <w:rPr>
                <w:rFonts w:eastAsia="Times New Roman" w:cstheme="minorHAnsi"/>
                <w:color w:val="000000"/>
                <w:sz w:val="24"/>
                <w:szCs w:val="24"/>
                <w:lang w:eastAsia="en-IN"/>
              </w:rPr>
            </w:pPr>
          </w:p>
        </w:tc>
        <w:tc>
          <w:tcPr>
            <w:tcW w:w="1107"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240120">
            <w:pPr>
              <w:spacing w:after="0" w:line="240" w:lineRule="auto"/>
              <w:jc w:val="center"/>
              <w:rPr>
                <w:rFonts w:eastAsia="Times New Roman" w:cstheme="minorHAnsi"/>
                <w:color w:val="000000"/>
                <w:sz w:val="24"/>
                <w:szCs w:val="24"/>
                <w:lang w:eastAsia="en-IN"/>
              </w:rPr>
            </w:pPr>
          </w:p>
        </w:tc>
        <w:tc>
          <w:tcPr>
            <w:tcW w:w="1107"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240120">
            <w:pPr>
              <w:spacing w:after="0" w:line="240" w:lineRule="auto"/>
              <w:jc w:val="center"/>
              <w:rPr>
                <w:rFonts w:eastAsia="Times New Roman" w:cstheme="minorHAnsi"/>
                <w:color w:val="000000"/>
                <w:sz w:val="24"/>
                <w:szCs w:val="24"/>
                <w:lang w:eastAsia="en-IN"/>
              </w:rPr>
            </w:pPr>
          </w:p>
        </w:tc>
      </w:tr>
      <w:tr w:rsidR="009141CD" w:rsidRPr="00AE0294" w:rsidTr="00240120">
        <w:trPr>
          <w:trHeight w:val="9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2</w:t>
            </w:r>
          </w:p>
        </w:tc>
        <w:tc>
          <w:tcPr>
            <w:tcW w:w="1215" w:type="dxa"/>
            <w:tcBorders>
              <w:top w:val="nil"/>
              <w:left w:val="nil"/>
              <w:bottom w:val="single" w:sz="4" w:space="0" w:color="auto"/>
              <w:right w:val="single" w:sz="4" w:space="0" w:color="auto"/>
            </w:tcBorders>
            <w:shd w:val="clear" w:color="auto" w:fill="auto"/>
            <w:vAlign w:val="bottom"/>
            <w:hideMark/>
          </w:tcPr>
          <w:p w:rsidR="009141CD" w:rsidRPr="00AE0294" w:rsidRDefault="009141CD" w:rsidP="009141CD">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No. of Consumers served during base year</w:t>
            </w:r>
          </w:p>
        </w:tc>
        <w:tc>
          <w:tcPr>
            <w:tcW w:w="99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240120">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8,94,928</w:t>
            </w:r>
          </w:p>
        </w:tc>
        <w:tc>
          <w:tcPr>
            <w:tcW w:w="99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240120">
            <w:pPr>
              <w:spacing w:after="0" w:line="240" w:lineRule="auto"/>
              <w:jc w:val="center"/>
              <w:rPr>
                <w:rFonts w:eastAsia="Times New Roman" w:cstheme="minorHAnsi"/>
                <w:color w:val="000000"/>
                <w:sz w:val="24"/>
                <w:szCs w:val="24"/>
                <w:lang w:eastAsia="en-IN"/>
              </w:rPr>
            </w:pPr>
          </w:p>
        </w:tc>
        <w:tc>
          <w:tcPr>
            <w:tcW w:w="1107"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240120">
            <w:pPr>
              <w:spacing w:after="0" w:line="240" w:lineRule="auto"/>
              <w:jc w:val="center"/>
              <w:rPr>
                <w:rFonts w:eastAsia="Times New Roman" w:cstheme="minorHAnsi"/>
                <w:color w:val="000000"/>
                <w:sz w:val="24"/>
                <w:szCs w:val="24"/>
                <w:lang w:eastAsia="en-IN"/>
              </w:rPr>
            </w:pPr>
          </w:p>
        </w:tc>
        <w:tc>
          <w:tcPr>
            <w:tcW w:w="1107"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240120">
            <w:pPr>
              <w:spacing w:after="0" w:line="240" w:lineRule="auto"/>
              <w:jc w:val="center"/>
              <w:rPr>
                <w:rFonts w:eastAsia="Times New Roman" w:cstheme="minorHAnsi"/>
                <w:color w:val="000000"/>
                <w:sz w:val="24"/>
                <w:szCs w:val="24"/>
                <w:lang w:eastAsia="en-IN"/>
              </w:rPr>
            </w:pPr>
          </w:p>
        </w:tc>
        <w:tc>
          <w:tcPr>
            <w:tcW w:w="1107"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240120">
            <w:pPr>
              <w:spacing w:after="0" w:line="240" w:lineRule="auto"/>
              <w:jc w:val="center"/>
              <w:rPr>
                <w:rFonts w:eastAsia="Times New Roman" w:cstheme="minorHAnsi"/>
                <w:color w:val="000000"/>
                <w:sz w:val="24"/>
                <w:szCs w:val="24"/>
                <w:lang w:eastAsia="en-IN"/>
              </w:rPr>
            </w:pPr>
          </w:p>
        </w:tc>
        <w:tc>
          <w:tcPr>
            <w:tcW w:w="1107"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240120">
            <w:pPr>
              <w:spacing w:after="0" w:line="240" w:lineRule="auto"/>
              <w:jc w:val="center"/>
              <w:rPr>
                <w:rFonts w:eastAsia="Times New Roman" w:cstheme="minorHAnsi"/>
                <w:color w:val="000000"/>
                <w:sz w:val="24"/>
                <w:szCs w:val="24"/>
                <w:lang w:eastAsia="en-IN"/>
              </w:rPr>
            </w:pPr>
          </w:p>
        </w:tc>
      </w:tr>
      <w:tr w:rsidR="009141CD" w:rsidRPr="00AE0294" w:rsidTr="00240120">
        <w:trPr>
          <w:trHeight w:val="9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3</w:t>
            </w:r>
          </w:p>
        </w:tc>
        <w:tc>
          <w:tcPr>
            <w:tcW w:w="1215" w:type="dxa"/>
            <w:tcBorders>
              <w:top w:val="nil"/>
              <w:left w:val="nil"/>
              <w:bottom w:val="single" w:sz="4" w:space="0" w:color="auto"/>
              <w:right w:val="single" w:sz="4" w:space="0" w:color="auto"/>
            </w:tcBorders>
            <w:shd w:val="clear" w:color="auto" w:fill="auto"/>
            <w:vAlign w:val="bottom"/>
            <w:hideMark/>
          </w:tcPr>
          <w:p w:rsidR="009141CD" w:rsidRPr="00AE0294" w:rsidRDefault="009141CD" w:rsidP="009141CD">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 xml:space="preserve">Employee Expenses per consumer </w:t>
            </w:r>
            <w:r w:rsidRPr="00AE0294">
              <w:rPr>
                <w:rFonts w:eastAsia="Times New Roman" w:cstheme="minorHAnsi"/>
                <w:color w:val="000000"/>
                <w:sz w:val="24"/>
                <w:szCs w:val="24"/>
                <w:lang w:eastAsia="en-IN"/>
              </w:rPr>
              <w:lastRenderedPageBreak/>
              <w:t>in the base year</w:t>
            </w:r>
          </w:p>
        </w:tc>
        <w:tc>
          <w:tcPr>
            <w:tcW w:w="99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240120">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lastRenderedPageBreak/>
              <w:t>1,455</w:t>
            </w:r>
          </w:p>
        </w:tc>
        <w:tc>
          <w:tcPr>
            <w:tcW w:w="99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240120">
            <w:pPr>
              <w:spacing w:after="0" w:line="240" w:lineRule="auto"/>
              <w:jc w:val="center"/>
              <w:rPr>
                <w:rFonts w:eastAsia="Times New Roman" w:cstheme="minorHAnsi"/>
                <w:color w:val="000000"/>
                <w:sz w:val="24"/>
                <w:szCs w:val="24"/>
                <w:lang w:eastAsia="en-IN"/>
              </w:rPr>
            </w:pPr>
          </w:p>
        </w:tc>
        <w:tc>
          <w:tcPr>
            <w:tcW w:w="1107"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240120">
            <w:pPr>
              <w:spacing w:after="0" w:line="240" w:lineRule="auto"/>
              <w:jc w:val="center"/>
              <w:rPr>
                <w:rFonts w:eastAsia="Times New Roman" w:cstheme="minorHAnsi"/>
                <w:color w:val="000000"/>
                <w:sz w:val="24"/>
                <w:szCs w:val="24"/>
                <w:lang w:eastAsia="en-IN"/>
              </w:rPr>
            </w:pPr>
          </w:p>
        </w:tc>
        <w:tc>
          <w:tcPr>
            <w:tcW w:w="1107"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240120">
            <w:pPr>
              <w:spacing w:after="0" w:line="240" w:lineRule="auto"/>
              <w:jc w:val="center"/>
              <w:rPr>
                <w:rFonts w:eastAsia="Times New Roman" w:cstheme="minorHAnsi"/>
                <w:color w:val="000000"/>
                <w:sz w:val="24"/>
                <w:szCs w:val="24"/>
                <w:lang w:eastAsia="en-IN"/>
              </w:rPr>
            </w:pPr>
          </w:p>
        </w:tc>
        <w:tc>
          <w:tcPr>
            <w:tcW w:w="1107"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240120">
            <w:pPr>
              <w:spacing w:after="0" w:line="240" w:lineRule="auto"/>
              <w:jc w:val="center"/>
              <w:rPr>
                <w:rFonts w:eastAsia="Times New Roman" w:cstheme="minorHAnsi"/>
                <w:color w:val="000000"/>
                <w:sz w:val="24"/>
                <w:szCs w:val="24"/>
                <w:lang w:eastAsia="en-IN"/>
              </w:rPr>
            </w:pPr>
          </w:p>
        </w:tc>
        <w:tc>
          <w:tcPr>
            <w:tcW w:w="1107"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240120">
            <w:pPr>
              <w:spacing w:after="0" w:line="240" w:lineRule="auto"/>
              <w:jc w:val="center"/>
              <w:rPr>
                <w:rFonts w:eastAsia="Times New Roman" w:cstheme="minorHAnsi"/>
                <w:color w:val="000000"/>
                <w:sz w:val="24"/>
                <w:szCs w:val="24"/>
                <w:lang w:eastAsia="en-IN"/>
              </w:rPr>
            </w:pPr>
          </w:p>
        </w:tc>
      </w:tr>
      <w:tr w:rsidR="009141CD" w:rsidRPr="00AE0294" w:rsidTr="0024012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lastRenderedPageBreak/>
              <w:t>4</w:t>
            </w:r>
          </w:p>
        </w:tc>
        <w:tc>
          <w:tcPr>
            <w:tcW w:w="1215" w:type="dxa"/>
            <w:tcBorders>
              <w:top w:val="nil"/>
              <w:left w:val="nil"/>
              <w:bottom w:val="single" w:sz="4" w:space="0" w:color="auto"/>
              <w:right w:val="single" w:sz="4" w:space="0" w:color="auto"/>
            </w:tcBorders>
            <w:shd w:val="clear" w:color="auto" w:fill="auto"/>
            <w:vAlign w:val="bottom"/>
            <w:hideMark/>
          </w:tcPr>
          <w:p w:rsidR="009141CD" w:rsidRPr="00AE0294" w:rsidRDefault="009141CD" w:rsidP="009141CD">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Escalation Factor</w:t>
            </w:r>
          </w:p>
        </w:tc>
        <w:tc>
          <w:tcPr>
            <w:tcW w:w="99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240120">
            <w:pPr>
              <w:spacing w:after="0" w:line="240" w:lineRule="auto"/>
              <w:jc w:val="center"/>
              <w:rPr>
                <w:rFonts w:eastAsia="Times New Roman" w:cstheme="minorHAnsi"/>
                <w:color w:val="000000"/>
                <w:sz w:val="24"/>
                <w:szCs w:val="24"/>
                <w:lang w:eastAsia="en-IN"/>
              </w:rPr>
            </w:pPr>
          </w:p>
        </w:tc>
        <w:tc>
          <w:tcPr>
            <w:tcW w:w="99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240120">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4.66%</w:t>
            </w:r>
          </w:p>
        </w:tc>
        <w:tc>
          <w:tcPr>
            <w:tcW w:w="1107"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240120">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4.66%</w:t>
            </w:r>
          </w:p>
        </w:tc>
        <w:tc>
          <w:tcPr>
            <w:tcW w:w="1107"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240120">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4.66%</w:t>
            </w:r>
          </w:p>
        </w:tc>
        <w:tc>
          <w:tcPr>
            <w:tcW w:w="1107"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240120">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4.66%</w:t>
            </w:r>
          </w:p>
        </w:tc>
        <w:tc>
          <w:tcPr>
            <w:tcW w:w="1107"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240120">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4.66%</w:t>
            </w:r>
          </w:p>
        </w:tc>
      </w:tr>
      <w:tr w:rsidR="009141CD" w:rsidRPr="00AE0294" w:rsidTr="00240120">
        <w:trPr>
          <w:trHeight w:val="5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5</w:t>
            </w:r>
          </w:p>
        </w:tc>
        <w:tc>
          <w:tcPr>
            <w:tcW w:w="1215" w:type="dxa"/>
            <w:tcBorders>
              <w:top w:val="nil"/>
              <w:left w:val="nil"/>
              <w:bottom w:val="single" w:sz="4" w:space="0" w:color="auto"/>
              <w:right w:val="single" w:sz="4" w:space="0" w:color="auto"/>
            </w:tcBorders>
            <w:shd w:val="clear" w:color="auto" w:fill="auto"/>
            <w:vAlign w:val="bottom"/>
            <w:hideMark/>
          </w:tcPr>
          <w:p w:rsidR="009141CD" w:rsidRPr="00AE0294" w:rsidRDefault="009141CD" w:rsidP="009141CD">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Increase in employee expenses over first MYT Control Period after applying escalation factor</w:t>
            </w:r>
          </w:p>
        </w:tc>
        <w:tc>
          <w:tcPr>
            <w:tcW w:w="99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240120">
            <w:pPr>
              <w:spacing w:after="0" w:line="240" w:lineRule="auto"/>
              <w:jc w:val="center"/>
              <w:rPr>
                <w:rFonts w:eastAsia="Times New Roman" w:cstheme="minorHAnsi"/>
                <w:color w:val="000000"/>
                <w:sz w:val="24"/>
                <w:szCs w:val="24"/>
                <w:lang w:eastAsia="en-IN"/>
              </w:rPr>
            </w:pPr>
          </w:p>
        </w:tc>
        <w:tc>
          <w:tcPr>
            <w:tcW w:w="99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240120">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1,523</w:t>
            </w:r>
          </w:p>
        </w:tc>
        <w:tc>
          <w:tcPr>
            <w:tcW w:w="1107"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240120">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1,594</w:t>
            </w:r>
          </w:p>
        </w:tc>
        <w:tc>
          <w:tcPr>
            <w:tcW w:w="1107"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240120">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1,668</w:t>
            </w:r>
          </w:p>
        </w:tc>
        <w:tc>
          <w:tcPr>
            <w:tcW w:w="1107"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240120">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1,746</w:t>
            </w:r>
          </w:p>
        </w:tc>
        <w:tc>
          <w:tcPr>
            <w:tcW w:w="1107"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240120">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1,827</w:t>
            </w:r>
          </w:p>
        </w:tc>
      </w:tr>
      <w:tr w:rsidR="009141CD" w:rsidRPr="00AE0294" w:rsidTr="009141CD">
        <w:trPr>
          <w:trHeight w:val="12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6</w:t>
            </w:r>
          </w:p>
        </w:tc>
        <w:tc>
          <w:tcPr>
            <w:tcW w:w="1215" w:type="dxa"/>
            <w:tcBorders>
              <w:top w:val="nil"/>
              <w:left w:val="nil"/>
              <w:bottom w:val="single" w:sz="4" w:space="0" w:color="auto"/>
              <w:right w:val="single" w:sz="4" w:space="0" w:color="auto"/>
            </w:tcBorders>
            <w:shd w:val="clear" w:color="auto" w:fill="auto"/>
            <w:vAlign w:val="bottom"/>
            <w:hideMark/>
          </w:tcPr>
          <w:p w:rsidR="009141CD" w:rsidRPr="00AE0294" w:rsidRDefault="009141CD" w:rsidP="009141CD">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Actual number of consumers served during first Control Period</w:t>
            </w:r>
          </w:p>
        </w:tc>
        <w:tc>
          <w:tcPr>
            <w:tcW w:w="995" w:type="dxa"/>
            <w:tcBorders>
              <w:top w:val="nil"/>
              <w:left w:val="nil"/>
              <w:bottom w:val="single" w:sz="4" w:space="0" w:color="auto"/>
              <w:right w:val="single" w:sz="4" w:space="0" w:color="auto"/>
            </w:tcBorders>
            <w:shd w:val="clear" w:color="auto" w:fill="auto"/>
            <w:noWrap/>
            <w:vAlign w:val="bottom"/>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 </w:t>
            </w:r>
          </w:p>
        </w:tc>
        <w:tc>
          <w:tcPr>
            <w:tcW w:w="99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9,75,043</w:t>
            </w:r>
          </w:p>
        </w:tc>
        <w:tc>
          <w:tcPr>
            <w:tcW w:w="1107"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10,44,821</w:t>
            </w:r>
          </w:p>
        </w:tc>
        <w:tc>
          <w:tcPr>
            <w:tcW w:w="1107"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11,05,289</w:t>
            </w:r>
          </w:p>
        </w:tc>
        <w:tc>
          <w:tcPr>
            <w:tcW w:w="1107"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11,81,539</w:t>
            </w:r>
          </w:p>
        </w:tc>
        <w:tc>
          <w:tcPr>
            <w:tcW w:w="1107"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12,27,755</w:t>
            </w:r>
          </w:p>
        </w:tc>
      </w:tr>
      <w:tr w:rsidR="009141CD" w:rsidRPr="00AE0294" w:rsidTr="009141CD">
        <w:trPr>
          <w:trHeight w:val="9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7</w:t>
            </w:r>
          </w:p>
        </w:tc>
        <w:tc>
          <w:tcPr>
            <w:tcW w:w="1215" w:type="dxa"/>
            <w:tcBorders>
              <w:top w:val="nil"/>
              <w:left w:val="nil"/>
              <w:bottom w:val="single" w:sz="4" w:space="0" w:color="auto"/>
              <w:right w:val="single" w:sz="4" w:space="0" w:color="auto"/>
            </w:tcBorders>
            <w:shd w:val="clear" w:color="auto" w:fill="auto"/>
            <w:vAlign w:val="bottom"/>
            <w:hideMark/>
          </w:tcPr>
          <w:p w:rsidR="009141CD" w:rsidRPr="00AE0294" w:rsidRDefault="009141CD" w:rsidP="009141CD">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Increase in number of consumers served y-o-y basis</w:t>
            </w:r>
          </w:p>
        </w:tc>
        <w:tc>
          <w:tcPr>
            <w:tcW w:w="995" w:type="dxa"/>
            <w:tcBorders>
              <w:top w:val="nil"/>
              <w:left w:val="nil"/>
              <w:bottom w:val="single" w:sz="4" w:space="0" w:color="auto"/>
              <w:right w:val="single" w:sz="4" w:space="0" w:color="auto"/>
            </w:tcBorders>
            <w:shd w:val="clear" w:color="auto" w:fill="auto"/>
            <w:noWrap/>
            <w:vAlign w:val="bottom"/>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 </w:t>
            </w:r>
          </w:p>
        </w:tc>
        <w:tc>
          <w:tcPr>
            <w:tcW w:w="99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80,115</w:t>
            </w:r>
          </w:p>
        </w:tc>
        <w:tc>
          <w:tcPr>
            <w:tcW w:w="1107"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69,778</w:t>
            </w:r>
          </w:p>
        </w:tc>
        <w:tc>
          <w:tcPr>
            <w:tcW w:w="1107"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60,468</w:t>
            </w:r>
          </w:p>
        </w:tc>
        <w:tc>
          <w:tcPr>
            <w:tcW w:w="1107"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76,250</w:t>
            </w:r>
          </w:p>
        </w:tc>
        <w:tc>
          <w:tcPr>
            <w:tcW w:w="1107"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46,216</w:t>
            </w:r>
          </w:p>
        </w:tc>
      </w:tr>
      <w:tr w:rsidR="009141CD" w:rsidRPr="00AE0294" w:rsidTr="009141CD">
        <w:trPr>
          <w:trHeight w:val="12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8</w:t>
            </w:r>
          </w:p>
        </w:tc>
        <w:tc>
          <w:tcPr>
            <w:tcW w:w="1215" w:type="dxa"/>
            <w:tcBorders>
              <w:top w:val="nil"/>
              <w:left w:val="nil"/>
              <w:bottom w:val="single" w:sz="4" w:space="0" w:color="auto"/>
              <w:right w:val="single" w:sz="4" w:space="0" w:color="auto"/>
            </w:tcBorders>
            <w:shd w:val="clear" w:color="auto" w:fill="auto"/>
            <w:vAlign w:val="bottom"/>
            <w:hideMark/>
          </w:tcPr>
          <w:p w:rsidR="009141CD" w:rsidRPr="00AE0294" w:rsidRDefault="009141CD" w:rsidP="009141CD">
            <w:pPr>
              <w:spacing w:after="0" w:line="240" w:lineRule="auto"/>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Increase in employee Expenses based on number of consumers</w:t>
            </w:r>
          </w:p>
        </w:tc>
        <w:tc>
          <w:tcPr>
            <w:tcW w:w="995" w:type="dxa"/>
            <w:tcBorders>
              <w:top w:val="nil"/>
              <w:left w:val="nil"/>
              <w:bottom w:val="single" w:sz="4" w:space="0" w:color="auto"/>
              <w:right w:val="single" w:sz="4" w:space="0" w:color="auto"/>
            </w:tcBorders>
            <w:shd w:val="clear" w:color="auto" w:fill="auto"/>
            <w:noWrap/>
            <w:vAlign w:val="bottom"/>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 </w:t>
            </w:r>
          </w:p>
        </w:tc>
        <w:tc>
          <w:tcPr>
            <w:tcW w:w="99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12.2</w:t>
            </w:r>
          </w:p>
        </w:tc>
        <w:tc>
          <w:tcPr>
            <w:tcW w:w="1107"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11.1</w:t>
            </w:r>
          </w:p>
        </w:tc>
        <w:tc>
          <w:tcPr>
            <w:tcW w:w="1107"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10.1</w:t>
            </w:r>
          </w:p>
        </w:tc>
        <w:tc>
          <w:tcPr>
            <w:tcW w:w="1107"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13.3</w:t>
            </w:r>
          </w:p>
        </w:tc>
        <w:tc>
          <w:tcPr>
            <w:tcW w:w="1107"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8.4</w:t>
            </w:r>
          </w:p>
        </w:tc>
      </w:tr>
    </w:tbl>
    <w:p w:rsidR="009141CD" w:rsidRPr="00AE0294" w:rsidRDefault="00845D9D" w:rsidP="007D37C9">
      <w:pPr>
        <w:pStyle w:val="ARRB11"/>
        <w:numPr>
          <w:ilvl w:val="1"/>
          <w:numId w:val="23"/>
        </w:numPr>
        <w:ind w:left="990" w:hanging="990"/>
        <w:rPr>
          <w:szCs w:val="24"/>
          <w:lang w:bidi="te-IN"/>
        </w:rPr>
      </w:pPr>
      <w:r w:rsidRPr="00AE0294">
        <w:rPr>
          <w:szCs w:val="24"/>
          <w:lang w:val="en-IN" w:bidi="te-IN"/>
        </w:rPr>
        <w:t xml:space="preserve">The Financial impact of this issue along with carrying cost is tabulated </w:t>
      </w:r>
      <w:r w:rsidR="009141CD" w:rsidRPr="00AE0294">
        <w:rPr>
          <w:szCs w:val="24"/>
          <w:lang w:bidi="te-IN"/>
        </w:rPr>
        <w:t>below:</w:t>
      </w:r>
    </w:p>
    <w:p w:rsidR="00AE14DA" w:rsidRPr="00AE0294" w:rsidRDefault="00AE14DA" w:rsidP="00AE14DA">
      <w:pPr>
        <w:pStyle w:val="Caption"/>
        <w:spacing w:after="0"/>
        <w:ind w:left="644"/>
        <w:jc w:val="center"/>
        <w:rPr>
          <w:rFonts w:cstheme="minorHAnsi"/>
          <w:b/>
          <w:i w:val="0"/>
          <w:color w:val="000000" w:themeColor="text1"/>
          <w:sz w:val="24"/>
          <w:szCs w:val="24"/>
          <w:lang w:bidi="te-IN"/>
        </w:rPr>
      </w:pPr>
      <w:bookmarkStart w:id="26" w:name="_Toc120734118"/>
      <w:r w:rsidRPr="00AE0294">
        <w:rPr>
          <w:rFonts w:cstheme="minorHAnsi"/>
          <w:b/>
          <w:i w:val="0"/>
          <w:color w:val="000000" w:themeColor="text1"/>
          <w:sz w:val="24"/>
          <w:szCs w:val="24"/>
        </w:rPr>
        <w:lastRenderedPageBreak/>
        <w:t xml:space="preserve">Table 3B </w:t>
      </w:r>
      <w:r w:rsidRPr="00AE0294">
        <w:rPr>
          <w:rFonts w:cstheme="minorHAnsi"/>
          <w:b/>
          <w:i w:val="0"/>
          <w:color w:val="000000" w:themeColor="text1"/>
          <w:sz w:val="24"/>
          <w:szCs w:val="24"/>
        </w:rPr>
        <w:fldChar w:fldCharType="begin"/>
      </w:r>
      <w:r w:rsidRPr="00AE0294">
        <w:rPr>
          <w:rFonts w:cstheme="minorHAnsi"/>
          <w:b/>
          <w:i w:val="0"/>
          <w:color w:val="000000" w:themeColor="text1"/>
          <w:sz w:val="24"/>
          <w:szCs w:val="24"/>
        </w:rPr>
        <w:instrText xml:space="preserve"> SEQ Table_3B \* ARABIC </w:instrText>
      </w:r>
      <w:r w:rsidRPr="00AE0294">
        <w:rPr>
          <w:rFonts w:cstheme="minorHAnsi"/>
          <w:b/>
          <w:i w:val="0"/>
          <w:color w:val="000000" w:themeColor="text1"/>
          <w:sz w:val="24"/>
          <w:szCs w:val="24"/>
        </w:rPr>
        <w:fldChar w:fldCharType="separate"/>
      </w:r>
      <w:r w:rsidR="006D2E03">
        <w:rPr>
          <w:rFonts w:cstheme="minorHAnsi"/>
          <w:b/>
          <w:i w:val="0"/>
          <w:noProof/>
          <w:color w:val="000000" w:themeColor="text1"/>
          <w:sz w:val="24"/>
          <w:szCs w:val="24"/>
        </w:rPr>
        <w:t>10</w:t>
      </w:r>
      <w:r w:rsidRPr="00AE0294">
        <w:rPr>
          <w:rFonts w:cstheme="minorHAnsi"/>
          <w:b/>
          <w:i w:val="0"/>
          <w:color w:val="000000" w:themeColor="text1"/>
          <w:sz w:val="24"/>
          <w:szCs w:val="24"/>
        </w:rPr>
        <w:fldChar w:fldCharType="end"/>
      </w:r>
      <w:r w:rsidRPr="00AE0294">
        <w:rPr>
          <w:rFonts w:cstheme="minorHAnsi"/>
          <w:b/>
          <w:i w:val="0"/>
          <w:color w:val="000000" w:themeColor="text1"/>
          <w:sz w:val="24"/>
          <w:szCs w:val="24"/>
        </w:rPr>
        <w:t xml:space="preserve">: Impact </w:t>
      </w:r>
      <w:r w:rsidR="00240120">
        <w:rPr>
          <w:rFonts w:cstheme="minorHAnsi"/>
          <w:b/>
          <w:i w:val="0"/>
          <w:color w:val="000000" w:themeColor="text1"/>
          <w:sz w:val="24"/>
          <w:szCs w:val="24"/>
        </w:rPr>
        <w:t xml:space="preserve">of </w:t>
      </w:r>
      <w:r w:rsidR="00240120" w:rsidRPr="00AE0294">
        <w:rPr>
          <w:rStyle w:val="Heading2Char"/>
          <w:rFonts w:asciiTheme="minorHAnsi" w:eastAsiaTheme="minorHAnsi" w:hAnsiTheme="minorHAnsi" w:cstheme="minorHAnsi"/>
          <w:i w:val="0"/>
          <w:color w:val="000000" w:themeColor="text1"/>
          <w:sz w:val="24"/>
          <w:szCs w:val="24"/>
        </w:rPr>
        <w:t>increase in employee expenses based on number of consumers</w:t>
      </w:r>
      <w:r w:rsidR="00240120" w:rsidRPr="00AE0294">
        <w:rPr>
          <w:rFonts w:cstheme="minorHAnsi"/>
          <w:b/>
          <w:i w:val="0"/>
          <w:color w:val="000000" w:themeColor="text1"/>
          <w:sz w:val="24"/>
          <w:szCs w:val="24"/>
        </w:rPr>
        <w:t xml:space="preserve"> </w:t>
      </w:r>
      <w:r w:rsidRPr="00AE0294">
        <w:rPr>
          <w:rFonts w:cstheme="minorHAnsi"/>
          <w:b/>
          <w:i w:val="0"/>
          <w:color w:val="000000" w:themeColor="text1"/>
          <w:sz w:val="24"/>
          <w:szCs w:val="24"/>
        </w:rPr>
        <w:t>along with carrying cost</w:t>
      </w:r>
      <w:r w:rsidRPr="00AE0294">
        <w:rPr>
          <w:rStyle w:val="Heading2Char"/>
          <w:rFonts w:asciiTheme="minorHAnsi" w:eastAsiaTheme="minorHAnsi" w:hAnsiTheme="minorHAnsi" w:cstheme="minorHAnsi"/>
          <w:i w:val="0"/>
          <w:color w:val="000000" w:themeColor="text1"/>
          <w:sz w:val="24"/>
          <w:szCs w:val="24"/>
        </w:rPr>
        <w:t xml:space="preserve"> (₹ Crore)</w:t>
      </w:r>
      <w:bookmarkEnd w:id="26"/>
    </w:p>
    <w:tbl>
      <w:tblPr>
        <w:tblW w:w="9017" w:type="dxa"/>
        <w:tblLook w:val="04A0" w:firstRow="1" w:lastRow="0" w:firstColumn="1" w:lastColumn="0" w:noHBand="0" w:noVBand="1"/>
      </w:tblPr>
      <w:tblGrid>
        <w:gridCol w:w="846"/>
        <w:gridCol w:w="1278"/>
        <w:gridCol w:w="935"/>
        <w:gridCol w:w="935"/>
        <w:gridCol w:w="1025"/>
        <w:gridCol w:w="1025"/>
        <w:gridCol w:w="1025"/>
        <w:gridCol w:w="1025"/>
        <w:gridCol w:w="935"/>
      </w:tblGrid>
      <w:tr w:rsidR="009141CD" w:rsidRPr="00AE0294" w:rsidTr="009141CD">
        <w:trPr>
          <w:trHeight w:val="297"/>
          <w:tblHeader/>
        </w:trPr>
        <w:tc>
          <w:tcPr>
            <w:tcW w:w="84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S. No</w:t>
            </w:r>
          </w:p>
        </w:tc>
        <w:tc>
          <w:tcPr>
            <w:tcW w:w="1269" w:type="dxa"/>
            <w:tcBorders>
              <w:top w:val="single" w:sz="4" w:space="0" w:color="auto"/>
              <w:left w:val="nil"/>
              <w:bottom w:val="single" w:sz="4" w:space="0" w:color="auto"/>
              <w:right w:val="single" w:sz="4" w:space="0" w:color="auto"/>
            </w:tcBorders>
            <w:shd w:val="clear" w:color="000000" w:fill="FFFFFF"/>
            <w:vAlign w:val="bottom"/>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Particulars</w:t>
            </w:r>
          </w:p>
        </w:tc>
        <w:tc>
          <w:tcPr>
            <w:tcW w:w="934" w:type="dxa"/>
            <w:tcBorders>
              <w:top w:val="single" w:sz="4" w:space="0" w:color="auto"/>
              <w:left w:val="nil"/>
              <w:bottom w:val="single" w:sz="4" w:space="0" w:color="auto"/>
              <w:right w:val="single" w:sz="4" w:space="0" w:color="auto"/>
            </w:tcBorders>
            <w:shd w:val="clear" w:color="000000" w:fill="FFFFFF"/>
            <w:noWrap/>
            <w:vAlign w:val="bottom"/>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FY 08</w:t>
            </w:r>
          </w:p>
        </w:tc>
        <w:tc>
          <w:tcPr>
            <w:tcW w:w="934" w:type="dxa"/>
            <w:tcBorders>
              <w:top w:val="single" w:sz="4" w:space="0" w:color="auto"/>
              <w:left w:val="nil"/>
              <w:bottom w:val="single" w:sz="4" w:space="0" w:color="auto"/>
              <w:right w:val="single" w:sz="4" w:space="0" w:color="auto"/>
            </w:tcBorders>
            <w:shd w:val="clear" w:color="000000" w:fill="FFFFFF"/>
            <w:noWrap/>
            <w:vAlign w:val="bottom"/>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FY 09</w:t>
            </w:r>
          </w:p>
        </w:tc>
        <w:tc>
          <w:tcPr>
            <w:tcW w:w="1025" w:type="dxa"/>
            <w:tcBorders>
              <w:top w:val="single" w:sz="4" w:space="0" w:color="auto"/>
              <w:left w:val="nil"/>
              <w:bottom w:val="single" w:sz="4" w:space="0" w:color="auto"/>
              <w:right w:val="single" w:sz="4" w:space="0" w:color="auto"/>
            </w:tcBorders>
            <w:shd w:val="clear" w:color="000000" w:fill="FFFFFF"/>
            <w:noWrap/>
            <w:vAlign w:val="bottom"/>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FY 10</w:t>
            </w:r>
          </w:p>
        </w:tc>
        <w:tc>
          <w:tcPr>
            <w:tcW w:w="1025" w:type="dxa"/>
            <w:tcBorders>
              <w:top w:val="single" w:sz="4" w:space="0" w:color="auto"/>
              <w:left w:val="nil"/>
              <w:bottom w:val="single" w:sz="4" w:space="0" w:color="auto"/>
              <w:right w:val="single" w:sz="4" w:space="0" w:color="auto"/>
            </w:tcBorders>
            <w:shd w:val="clear" w:color="000000" w:fill="FFFFFF"/>
            <w:noWrap/>
            <w:vAlign w:val="bottom"/>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FY 11</w:t>
            </w:r>
          </w:p>
        </w:tc>
        <w:tc>
          <w:tcPr>
            <w:tcW w:w="1025" w:type="dxa"/>
            <w:tcBorders>
              <w:top w:val="single" w:sz="4" w:space="0" w:color="auto"/>
              <w:left w:val="nil"/>
              <w:bottom w:val="single" w:sz="4" w:space="0" w:color="auto"/>
              <w:right w:val="single" w:sz="4" w:space="0" w:color="auto"/>
            </w:tcBorders>
            <w:shd w:val="clear" w:color="000000" w:fill="FFFFFF"/>
            <w:noWrap/>
            <w:vAlign w:val="bottom"/>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FY 12</w:t>
            </w:r>
          </w:p>
        </w:tc>
        <w:tc>
          <w:tcPr>
            <w:tcW w:w="1025" w:type="dxa"/>
            <w:tcBorders>
              <w:top w:val="single" w:sz="4" w:space="0" w:color="auto"/>
              <w:left w:val="nil"/>
              <w:bottom w:val="single" w:sz="4" w:space="0" w:color="auto"/>
              <w:right w:val="single" w:sz="4" w:space="0" w:color="auto"/>
            </w:tcBorders>
            <w:shd w:val="clear" w:color="000000" w:fill="FFFFFF"/>
            <w:noWrap/>
            <w:vAlign w:val="bottom"/>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FY 13</w:t>
            </w:r>
          </w:p>
        </w:tc>
        <w:tc>
          <w:tcPr>
            <w:tcW w:w="934" w:type="dxa"/>
            <w:tcBorders>
              <w:top w:val="single" w:sz="4" w:space="0" w:color="auto"/>
              <w:left w:val="nil"/>
              <w:bottom w:val="single" w:sz="4" w:space="0" w:color="auto"/>
              <w:right w:val="single" w:sz="4" w:space="0" w:color="auto"/>
            </w:tcBorders>
            <w:shd w:val="clear" w:color="000000" w:fill="FFFFFF"/>
            <w:noWrap/>
            <w:vAlign w:val="bottom"/>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FY 14</w:t>
            </w:r>
          </w:p>
        </w:tc>
      </w:tr>
      <w:tr w:rsidR="009141CD" w:rsidRPr="00AE0294" w:rsidTr="009141CD">
        <w:trPr>
          <w:trHeight w:val="297"/>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w:t>
            </w:r>
          </w:p>
        </w:tc>
        <w:tc>
          <w:tcPr>
            <w:tcW w:w="1269" w:type="dxa"/>
            <w:tcBorders>
              <w:top w:val="nil"/>
              <w:left w:val="nil"/>
              <w:bottom w:val="single" w:sz="4" w:space="0" w:color="auto"/>
              <w:right w:val="single" w:sz="4" w:space="0" w:color="auto"/>
            </w:tcBorders>
            <w:shd w:val="clear" w:color="000000" w:fill="FFFFFF"/>
            <w:vAlign w:val="bottom"/>
            <w:hideMark/>
          </w:tcPr>
          <w:p w:rsidR="009141CD" w:rsidRPr="00AE0294" w:rsidRDefault="009141CD" w:rsidP="009141CD">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Opening Balance</w:t>
            </w:r>
          </w:p>
        </w:tc>
        <w:tc>
          <w:tcPr>
            <w:tcW w:w="934"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0</w:t>
            </w:r>
          </w:p>
        </w:tc>
        <w:tc>
          <w:tcPr>
            <w:tcW w:w="934"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13</w:t>
            </w:r>
          </w:p>
        </w:tc>
        <w:tc>
          <w:tcPr>
            <w:tcW w:w="1025"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27</w:t>
            </w:r>
          </w:p>
        </w:tc>
        <w:tc>
          <w:tcPr>
            <w:tcW w:w="1025"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41</w:t>
            </w:r>
          </w:p>
        </w:tc>
        <w:tc>
          <w:tcPr>
            <w:tcW w:w="1025"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61</w:t>
            </w:r>
          </w:p>
        </w:tc>
        <w:tc>
          <w:tcPr>
            <w:tcW w:w="1025"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79</w:t>
            </w:r>
          </w:p>
        </w:tc>
        <w:tc>
          <w:tcPr>
            <w:tcW w:w="934"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91</w:t>
            </w:r>
          </w:p>
        </w:tc>
      </w:tr>
      <w:tr w:rsidR="009141CD" w:rsidRPr="00AE0294" w:rsidTr="009141CD">
        <w:trPr>
          <w:trHeight w:val="297"/>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2</w:t>
            </w:r>
          </w:p>
        </w:tc>
        <w:tc>
          <w:tcPr>
            <w:tcW w:w="1269" w:type="dxa"/>
            <w:tcBorders>
              <w:top w:val="nil"/>
              <w:left w:val="nil"/>
              <w:bottom w:val="single" w:sz="4" w:space="0" w:color="auto"/>
              <w:right w:val="single" w:sz="4" w:space="0" w:color="auto"/>
            </w:tcBorders>
            <w:shd w:val="clear" w:color="auto" w:fill="auto"/>
            <w:vAlign w:val="bottom"/>
            <w:hideMark/>
          </w:tcPr>
          <w:p w:rsidR="009141CD" w:rsidRPr="00AE0294" w:rsidRDefault="009141CD" w:rsidP="009141CD">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Additions</w:t>
            </w:r>
          </w:p>
        </w:tc>
        <w:tc>
          <w:tcPr>
            <w:tcW w:w="934"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12</w:t>
            </w:r>
          </w:p>
        </w:tc>
        <w:tc>
          <w:tcPr>
            <w:tcW w:w="934"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11</w:t>
            </w:r>
          </w:p>
        </w:tc>
        <w:tc>
          <w:tcPr>
            <w:tcW w:w="102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10</w:t>
            </w:r>
          </w:p>
        </w:tc>
        <w:tc>
          <w:tcPr>
            <w:tcW w:w="102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13</w:t>
            </w:r>
          </w:p>
        </w:tc>
        <w:tc>
          <w:tcPr>
            <w:tcW w:w="102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8</w:t>
            </w:r>
          </w:p>
        </w:tc>
        <w:tc>
          <w:tcPr>
            <w:tcW w:w="102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p>
        </w:tc>
        <w:tc>
          <w:tcPr>
            <w:tcW w:w="934"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p>
        </w:tc>
      </w:tr>
      <w:tr w:rsidR="009141CD" w:rsidRPr="00AE0294" w:rsidTr="009141CD">
        <w:trPr>
          <w:trHeight w:val="297"/>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3</w:t>
            </w:r>
          </w:p>
        </w:tc>
        <w:tc>
          <w:tcPr>
            <w:tcW w:w="1269" w:type="dxa"/>
            <w:tcBorders>
              <w:top w:val="nil"/>
              <w:left w:val="nil"/>
              <w:bottom w:val="single" w:sz="4" w:space="0" w:color="auto"/>
              <w:right w:val="single" w:sz="4" w:space="0" w:color="auto"/>
            </w:tcBorders>
            <w:shd w:val="clear" w:color="000000" w:fill="FFFFFF"/>
            <w:vAlign w:val="bottom"/>
            <w:hideMark/>
          </w:tcPr>
          <w:p w:rsidR="009141CD" w:rsidRPr="00AE0294" w:rsidRDefault="009141CD" w:rsidP="009141CD">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Closing Balance</w:t>
            </w:r>
          </w:p>
        </w:tc>
        <w:tc>
          <w:tcPr>
            <w:tcW w:w="934"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12</w:t>
            </w:r>
          </w:p>
        </w:tc>
        <w:tc>
          <w:tcPr>
            <w:tcW w:w="934"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24</w:t>
            </w:r>
          </w:p>
        </w:tc>
        <w:tc>
          <w:tcPr>
            <w:tcW w:w="102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37</w:t>
            </w:r>
          </w:p>
        </w:tc>
        <w:tc>
          <w:tcPr>
            <w:tcW w:w="102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54</w:t>
            </w:r>
          </w:p>
        </w:tc>
        <w:tc>
          <w:tcPr>
            <w:tcW w:w="102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69</w:t>
            </w:r>
          </w:p>
        </w:tc>
        <w:tc>
          <w:tcPr>
            <w:tcW w:w="102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79</w:t>
            </w:r>
          </w:p>
        </w:tc>
        <w:tc>
          <w:tcPr>
            <w:tcW w:w="934"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91</w:t>
            </w:r>
          </w:p>
        </w:tc>
      </w:tr>
      <w:tr w:rsidR="009141CD" w:rsidRPr="00AE0294" w:rsidTr="009141CD">
        <w:trPr>
          <w:trHeight w:val="297"/>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4</w:t>
            </w:r>
          </w:p>
        </w:tc>
        <w:tc>
          <w:tcPr>
            <w:tcW w:w="1269" w:type="dxa"/>
            <w:tcBorders>
              <w:top w:val="nil"/>
              <w:left w:val="nil"/>
              <w:bottom w:val="single" w:sz="4" w:space="0" w:color="auto"/>
              <w:right w:val="single" w:sz="4" w:space="0" w:color="auto"/>
            </w:tcBorders>
            <w:shd w:val="clear" w:color="000000" w:fill="FFFFFF"/>
            <w:vAlign w:val="bottom"/>
            <w:hideMark/>
          </w:tcPr>
          <w:p w:rsidR="009141CD" w:rsidRPr="00AE0294" w:rsidRDefault="009141CD" w:rsidP="009141CD">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Avg. Balance</w:t>
            </w:r>
          </w:p>
        </w:tc>
        <w:tc>
          <w:tcPr>
            <w:tcW w:w="934"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6</w:t>
            </w:r>
          </w:p>
        </w:tc>
        <w:tc>
          <w:tcPr>
            <w:tcW w:w="934"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19</w:t>
            </w:r>
          </w:p>
        </w:tc>
        <w:tc>
          <w:tcPr>
            <w:tcW w:w="102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32</w:t>
            </w:r>
          </w:p>
        </w:tc>
        <w:tc>
          <w:tcPr>
            <w:tcW w:w="102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48</w:t>
            </w:r>
          </w:p>
        </w:tc>
        <w:tc>
          <w:tcPr>
            <w:tcW w:w="102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65</w:t>
            </w:r>
          </w:p>
        </w:tc>
        <w:tc>
          <w:tcPr>
            <w:tcW w:w="102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79</w:t>
            </w:r>
          </w:p>
        </w:tc>
        <w:tc>
          <w:tcPr>
            <w:tcW w:w="934"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91</w:t>
            </w:r>
          </w:p>
        </w:tc>
      </w:tr>
      <w:tr w:rsidR="009141CD" w:rsidRPr="00AE0294" w:rsidTr="009141CD">
        <w:trPr>
          <w:trHeight w:val="297"/>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5</w:t>
            </w:r>
          </w:p>
        </w:tc>
        <w:tc>
          <w:tcPr>
            <w:tcW w:w="1269" w:type="dxa"/>
            <w:tcBorders>
              <w:top w:val="nil"/>
              <w:left w:val="nil"/>
              <w:bottom w:val="single" w:sz="4" w:space="0" w:color="auto"/>
              <w:right w:val="single" w:sz="4" w:space="0" w:color="auto"/>
            </w:tcBorders>
            <w:shd w:val="clear" w:color="000000" w:fill="FFFFFF"/>
            <w:vAlign w:val="bottom"/>
            <w:hideMark/>
          </w:tcPr>
          <w:p w:rsidR="009141CD" w:rsidRPr="00AE0294" w:rsidRDefault="009141CD" w:rsidP="009141CD">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Carrying Cost</w:t>
            </w:r>
          </w:p>
        </w:tc>
        <w:tc>
          <w:tcPr>
            <w:tcW w:w="934"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13.68%</w:t>
            </w:r>
          </w:p>
        </w:tc>
        <w:tc>
          <w:tcPr>
            <w:tcW w:w="934"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13.75%</w:t>
            </w:r>
          </w:p>
        </w:tc>
        <w:tc>
          <w:tcPr>
            <w:tcW w:w="1025"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13.11%</w:t>
            </w:r>
          </w:p>
        </w:tc>
        <w:tc>
          <w:tcPr>
            <w:tcW w:w="1025"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13.38%</w:t>
            </w:r>
          </w:p>
        </w:tc>
        <w:tc>
          <w:tcPr>
            <w:tcW w:w="1025"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14.88%</w:t>
            </w:r>
          </w:p>
        </w:tc>
        <w:tc>
          <w:tcPr>
            <w:tcW w:w="1025"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15.03%</w:t>
            </w:r>
          </w:p>
        </w:tc>
        <w:tc>
          <w:tcPr>
            <w:tcW w:w="934"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15.01%</w:t>
            </w:r>
          </w:p>
        </w:tc>
      </w:tr>
      <w:tr w:rsidR="009141CD" w:rsidRPr="00AE0294" w:rsidTr="009141CD">
        <w:trPr>
          <w:trHeight w:val="297"/>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6</w:t>
            </w:r>
          </w:p>
        </w:tc>
        <w:tc>
          <w:tcPr>
            <w:tcW w:w="1269" w:type="dxa"/>
            <w:tcBorders>
              <w:top w:val="nil"/>
              <w:left w:val="nil"/>
              <w:bottom w:val="single" w:sz="4" w:space="0" w:color="auto"/>
              <w:right w:val="single" w:sz="4" w:space="0" w:color="auto"/>
            </w:tcBorders>
            <w:shd w:val="clear" w:color="000000" w:fill="FFFFFF"/>
            <w:vAlign w:val="bottom"/>
            <w:hideMark/>
          </w:tcPr>
          <w:p w:rsidR="009141CD" w:rsidRPr="00AE0294" w:rsidRDefault="009141CD" w:rsidP="009141CD">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Carrying Cost</w:t>
            </w:r>
          </w:p>
        </w:tc>
        <w:tc>
          <w:tcPr>
            <w:tcW w:w="934"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w:t>
            </w:r>
          </w:p>
        </w:tc>
        <w:tc>
          <w:tcPr>
            <w:tcW w:w="934"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3</w:t>
            </w:r>
          </w:p>
        </w:tc>
        <w:tc>
          <w:tcPr>
            <w:tcW w:w="102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4</w:t>
            </w:r>
          </w:p>
        </w:tc>
        <w:tc>
          <w:tcPr>
            <w:tcW w:w="102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6</w:t>
            </w:r>
          </w:p>
        </w:tc>
        <w:tc>
          <w:tcPr>
            <w:tcW w:w="102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10</w:t>
            </w:r>
          </w:p>
        </w:tc>
        <w:tc>
          <w:tcPr>
            <w:tcW w:w="102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12</w:t>
            </w:r>
          </w:p>
        </w:tc>
        <w:tc>
          <w:tcPr>
            <w:tcW w:w="934"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14</w:t>
            </w:r>
          </w:p>
        </w:tc>
      </w:tr>
      <w:tr w:rsidR="009141CD" w:rsidRPr="00AE0294" w:rsidTr="009141CD">
        <w:trPr>
          <w:trHeight w:val="297"/>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7</w:t>
            </w:r>
          </w:p>
        </w:tc>
        <w:tc>
          <w:tcPr>
            <w:tcW w:w="1269" w:type="dxa"/>
            <w:tcBorders>
              <w:top w:val="nil"/>
              <w:left w:val="nil"/>
              <w:bottom w:val="single" w:sz="4" w:space="0" w:color="auto"/>
              <w:right w:val="single" w:sz="4" w:space="0" w:color="auto"/>
            </w:tcBorders>
            <w:shd w:val="clear" w:color="000000" w:fill="FFFFFF"/>
            <w:vAlign w:val="bottom"/>
            <w:hideMark/>
          </w:tcPr>
          <w:p w:rsidR="009141CD" w:rsidRPr="00AE0294" w:rsidRDefault="009141CD" w:rsidP="009141CD">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Grand Balance</w:t>
            </w:r>
          </w:p>
        </w:tc>
        <w:tc>
          <w:tcPr>
            <w:tcW w:w="934"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13</w:t>
            </w:r>
          </w:p>
        </w:tc>
        <w:tc>
          <w:tcPr>
            <w:tcW w:w="934"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27</w:t>
            </w:r>
          </w:p>
        </w:tc>
        <w:tc>
          <w:tcPr>
            <w:tcW w:w="102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41</w:t>
            </w:r>
          </w:p>
        </w:tc>
        <w:tc>
          <w:tcPr>
            <w:tcW w:w="102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61</w:t>
            </w:r>
          </w:p>
        </w:tc>
        <w:tc>
          <w:tcPr>
            <w:tcW w:w="102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79</w:t>
            </w:r>
          </w:p>
        </w:tc>
        <w:tc>
          <w:tcPr>
            <w:tcW w:w="1025"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91</w:t>
            </w:r>
          </w:p>
        </w:tc>
        <w:tc>
          <w:tcPr>
            <w:tcW w:w="934"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104</w:t>
            </w:r>
          </w:p>
        </w:tc>
      </w:tr>
    </w:tbl>
    <w:p w:rsidR="009141CD" w:rsidRPr="00AE0294" w:rsidRDefault="009141CD" w:rsidP="009141CD">
      <w:pPr>
        <w:pStyle w:val="ARRB11"/>
        <w:numPr>
          <w:ilvl w:val="0"/>
          <w:numId w:val="0"/>
        </w:numPr>
        <w:ind w:left="990"/>
        <w:rPr>
          <w:szCs w:val="24"/>
          <w:lang w:bidi="te-IN"/>
        </w:rPr>
      </w:pPr>
    </w:p>
    <w:tbl>
      <w:tblPr>
        <w:tblW w:w="9304" w:type="dxa"/>
        <w:tblLook w:val="04A0" w:firstRow="1" w:lastRow="0" w:firstColumn="1" w:lastColumn="0" w:noHBand="0" w:noVBand="1"/>
      </w:tblPr>
      <w:tblGrid>
        <w:gridCol w:w="799"/>
        <w:gridCol w:w="1278"/>
        <w:gridCol w:w="935"/>
        <w:gridCol w:w="935"/>
        <w:gridCol w:w="935"/>
        <w:gridCol w:w="935"/>
        <w:gridCol w:w="935"/>
        <w:gridCol w:w="935"/>
        <w:gridCol w:w="935"/>
        <w:gridCol w:w="935"/>
      </w:tblGrid>
      <w:tr w:rsidR="009141CD" w:rsidRPr="00AE0294" w:rsidTr="00240120">
        <w:trPr>
          <w:trHeight w:val="300"/>
          <w:tblHeader/>
        </w:trPr>
        <w:tc>
          <w:tcPr>
            <w:tcW w:w="7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S. No</w:t>
            </w:r>
          </w:p>
        </w:tc>
        <w:tc>
          <w:tcPr>
            <w:tcW w:w="1464" w:type="dxa"/>
            <w:tcBorders>
              <w:top w:val="single" w:sz="4" w:space="0" w:color="auto"/>
              <w:left w:val="nil"/>
              <w:bottom w:val="single" w:sz="4" w:space="0" w:color="auto"/>
              <w:right w:val="single" w:sz="4" w:space="0" w:color="auto"/>
            </w:tcBorders>
            <w:shd w:val="clear" w:color="000000" w:fill="FFFFFF"/>
            <w:vAlign w:val="bottom"/>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Particulars</w:t>
            </w:r>
          </w:p>
        </w:tc>
        <w:tc>
          <w:tcPr>
            <w:tcW w:w="881" w:type="dxa"/>
            <w:tcBorders>
              <w:top w:val="single" w:sz="4" w:space="0" w:color="auto"/>
              <w:left w:val="nil"/>
              <w:bottom w:val="single" w:sz="4" w:space="0" w:color="auto"/>
              <w:right w:val="single" w:sz="4" w:space="0" w:color="auto"/>
            </w:tcBorders>
            <w:shd w:val="clear" w:color="000000" w:fill="FFFFFF"/>
            <w:noWrap/>
            <w:vAlign w:val="bottom"/>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FY 15</w:t>
            </w:r>
          </w:p>
        </w:tc>
        <w:tc>
          <w:tcPr>
            <w:tcW w:w="880" w:type="dxa"/>
            <w:tcBorders>
              <w:top w:val="single" w:sz="4" w:space="0" w:color="auto"/>
              <w:left w:val="nil"/>
              <w:bottom w:val="single" w:sz="4" w:space="0" w:color="auto"/>
              <w:right w:val="single" w:sz="4" w:space="0" w:color="auto"/>
            </w:tcBorders>
            <w:shd w:val="clear" w:color="000000" w:fill="FFFFFF"/>
            <w:noWrap/>
            <w:vAlign w:val="bottom"/>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FY 16</w:t>
            </w:r>
          </w:p>
        </w:tc>
        <w:tc>
          <w:tcPr>
            <w:tcW w:w="880" w:type="dxa"/>
            <w:tcBorders>
              <w:top w:val="single" w:sz="4" w:space="0" w:color="auto"/>
              <w:left w:val="nil"/>
              <w:bottom w:val="single" w:sz="4" w:space="0" w:color="auto"/>
              <w:right w:val="single" w:sz="4" w:space="0" w:color="auto"/>
            </w:tcBorders>
            <w:shd w:val="clear" w:color="000000" w:fill="FFFFFF"/>
            <w:noWrap/>
            <w:vAlign w:val="bottom"/>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FY 17</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FY 18</w:t>
            </w:r>
          </w:p>
        </w:tc>
        <w:tc>
          <w:tcPr>
            <w:tcW w:w="880" w:type="dxa"/>
            <w:tcBorders>
              <w:top w:val="single" w:sz="4" w:space="0" w:color="auto"/>
              <w:left w:val="nil"/>
              <w:bottom w:val="single" w:sz="4" w:space="0" w:color="auto"/>
              <w:right w:val="single" w:sz="4" w:space="0" w:color="auto"/>
            </w:tcBorders>
            <w:shd w:val="clear" w:color="000000" w:fill="FFFFFF"/>
            <w:noWrap/>
            <w:vAlign w:val="bottom"/>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FY 19</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FY 20</w:t>
            </w:r>
          </w:p>
        </w:tc>
        <w:tc>
          <w:tcPr>
            <w:tcW w:w="880" w:type="dxa"/>
            <w:tcBorders>
              <w:top w:val="single" w:sz="4" w:space="0" w:color="auto"/>
              <w:left w:val="nil"/>
              <w:bottom w:val="single" w:sz="4" w:space="0" w:color="auto"/>
              <w:right w:val="single" w:sz="4" w:space="0" w:color="auto"/>
            </w:tcBorders>
            <w:shd w:val="clear" w:color="000000" w:fill="FFFFFF"/>
            <w:noWrap/>
            <w:vAlign w:val="bottom"/>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FY 21</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FY 22</w:t>
            </w:r>
          </w:p>
        </w:tc>
      </w:tr>
      <w:tr w:rsidR="009141CD" w:rsidRPr="00AE0294" w:rsidTr="00240120">
        <w:trPr>
          <w:trHeight w:val="300"/>
        </w:trPr>
        <w:tc>
          <w:tcPr>
            <w:tcW w:w="799" w:type="dxa"/>
            <w:tcBorders>
              <w:top w:val="nil"/>
              <w:left w:val="single" w:sz="4" w:space="0" w:color="auto"/>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w:t>
            </w:r>
          </w:p>
        </w:tc>
        <w:tc>
          <w:tcPr>
            <w:tcW w:w="1464" w:type="dxa"/>
            <w:tcBorders>
              <w:top w:val="nil"/>
              <w:left w:val="nil"/>
              <w:bottom w:val="single" w:sz="4" w:space="0" w:color="auto"/>
              <w:right w:val="single" w:sz="4" w:space="0" w:color="auto"/>
            </w:tcBorders>
            <w:shd w:val="clear" w:color="000000" w:fill="FFFFFF"/>
            <w:vAlign w:val="bottom"/>
            <w:hideMark/>
          </w:tcPr>
          <w:p w:rsidR="009141CD" w:rsidRPr="00AE0294" w:rsidRDefault="009141CD" w:rsidP="009141CD">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Opening Balance</w:t>
            </w:r>
          </w:p>
        </w:tc>
        <w:tc>
          <w:tcPr>
            <w:tcW w:w="881"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104</w:t>
            </w:r>
          </w:p>
        </w:tc>
        <w:tc>
          <w:tcPr>
            <w:tcW w:w="880"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120</w:t>
            </w:r>
          </w:p>
        </w:tc>
        <w:tc>
          <w:tcPr>
            <w:tcW w:w="880"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138</w:t>
            </w:r>
          </w:p>
        </w:tc>
        <w:tc>
          <w:tcPr>
            <w:tcW w:w="880"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158</w:t>
            </w:r>
          </w:p>
        </w:tc>
        <w:tc>
          <w:tcPr>
            <w:tcW w:w="880"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180</w:t>
            </w:r>
          </w:p>
        </w:tc>
        <w:tc>
          <w:tcPr>
            <w:tcW w:w="880"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205</w:t>
            </w:r>
          </w:p>
        </w:tc>
        <w:tc>
          <w:tcPr>
            <w:tcW w:w="880"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234</w:t>
            </w:r>
          </w:p>
        </w:tc>
        <w:tc>
          <w:tcPr>
            <w:tcW w:w="880"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264</w:t>
            </w:r>
          </w:p>
        </w:tc>
      </w:tr>
      <w:tr w:rsidR="009141CD" w:rsidRPr="00AE0294" w:rsidTr="00240120">
        <w:trPr>
          <w:trHeight w:val="300"/>
        </w:trPr>
        <w:tc>
          <w:tcPr>
            <w:tcW w:w="799" w:type="dxa"/>
            <w:tcBorders>
              <w:top w:val="nil"/>
              <w:left w:val="single" w:sz="4" w:space="0" w:color="auto"/>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2</w:t>
            </w:r>
          </w:p>
        </w:tc>
        <w:tc>
          <w:tcPr>
            <w:tcW w:w="1464" w:type="dxa"/>
            <w:tcBorders>
              <w:top w:val="nil"/>
              <w:left w:val="nil"/>
              <w:bottom w:val="single" w:sz="4" w:space="0" w:color="auto"/>
              <w:right w:val="single" w:sz="4" w:space="0" w:color="auto"/>
            </w:tcBorders>
            <w:shd w:val="clear" w:color="auto" w:fill="auto"/>
            <w:vAlign w:val="bottom"/>
            <w:hideMark/>
          </w:tcPr>
          <w:p w:rsidR="009141CD" w:rsidRPr="00AE0294" w:rsidRDefault="009141CD" w:rsidP="009141CD">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Additions</w:t>
            </w:r>
          </w:p>
        </w:tc>
        <w:tc>
          <w:tcPr>
            <w:tcW w:w="881"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p>
        </w:tc>
        <w:tc>
          <w:tcPr>
            <w:tcW w:w="880"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p>
        </w:tc>
        <w:tc>
          <w:tcPr>
            <w:tcW w:w="880"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p>
        </w:tc>
        <w:tc>
          <w:tcPr>
            <w:tcW w:w="880"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p>
        </w:tc>
        <w:tc>
          <w:tcPr>
            <w:tcW w:w="880"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p>
        </w:tc>
        <w:tc>
          <w:tcPr>
            <w:tcW w:w="880"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p>
        </w:tc>
        <w:tc>
          <w:tcPr>
            <w:tcW w:w="880"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p>
        </w:tc>
        <w:tc>
          <w:tcPr>
            <w:tcW w:w="880"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p>
        </w:tc>
      </w:tr>
      <w:tr w:rsidR="009141CD" w:rsidRPr="00AE0294" w:rsidTr="00240120">
        <w:trPr>
          <w:trHeight w:val="300"/>
        </w:trPr>
        <w:tc>
          <w:tcPr>
            <w:tcW w:w="799" w:type="dxa"/>
            <w:tcBorders>
              <w:top w:val="nil"/>
              <w:left w:val="single" w:sz="4" w:space="0" w:color="auto"/>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3</w:t>
            </w:r>
          </w:p>
        </w:tc>
        <w:tc>
          <w:tcPr>
            <w:tcW w:w="1464" w:type="dxa"/>
            <w:tcBorders>
              <w:top w:val="nil"/>
              <w:left w:val="nil"/>
              <w:bottom w:val="single" w:sz="4" w:space="0" w:color="auto"/>
              <w:right w:val="single" w:sz="4" w:space="0" w:color="auto"/>
            </w:tcBorders>
            <w:shd w:val="clear" w:color="000000" w:fill="FFFFFF"/>
            <w:vAlign w:val="bottom"/>
            <w:hideMark/>
          </w:tcPr>
          <w:p w:rsidR="009141CD" w:rsidRPr="00AE0294" w:rsidRDefault="009141CD" w:rsidP="009141CD">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Closing Balance</w:t>
            </w:r>
          </w:p>
        </w:tc>
        <w:tc>
          <w:tcPr>
            <w:tcW w:w="881"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104</w:t>
            </w:r>
          </w:p>
        </w:tc>
        <w:tc>
          <w:tcPr>
            <w:tcW w:w="880"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120</w:t>
            </w:r>
          </w:p>
        </w:tc>
        <w:tc>
          <w:tcPr>
            <w:tcW w:w="880"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138</w:t>
            </w:r>
          </w:p>
        </w:tc>
        <w:tc>
          <w:tcPr>
            <w:tcW w:w="880"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158</w:t>
            </w:r>
          </w:p>
        </w:tc>
        <w:tc>
          <w:tcPr>
            <w:tcW w:w="880"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180</w:t>
            </w:r>
          </w:p>
        </w:tc>
        <w:tc>
          <w:tcPr>
            <w:tcW w:w="880"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205</w:t>
            </w:r>
          </w:p>
        </w:tc>
        <w:tc>
          <w:tcPr>
            <w:tcW w:w="880"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234</w:t>
            </w:r>
          </w:p>
        </w:tc>
        <w:tc>
          <w:tcPr>
            <w:tcW w:w="880"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264</w:t>
            </w:r>
          </w:p>
        </w:tc>
      </w:tr>
      <w:tr w:rsidR="009141CD" w:rsidRPr="00AE0294" w:rsidTr="00240120">
        <w:trPr>
          <w:trHeight w:val="300"/>
        </w:trPr>
        <w:tc>
          <w:tcPr>
            <w:tcW w:w="799" w:type="dxa"/>
            <w:tcBorders>
              <w:top w:val="nil"/>
              <w:left w:val="single" w:sz="4" w:space="0" w:color="auto"/>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4</w:t>
            </w:r>
          </w:p>
        </w:tc>
        <w:tc>
          <w:tcPr>
            <w:tcW w:w="1464" w:type="dxa"/>
            <w:tcBorders>
              <w:top w:val="nil"/>
              <w:left w:val="nil"/>
              <w:bottom w:val="single" w:sz="4" w:space="0" w:color="auto"/>
              <w:right w:val="single" w:sz="4" w:space="0" w:color="auto"/>
            </w:tcBorders>
            <w:shd w:val="clear" w:color="000000" w:fill="FFFFFF"/>
            <w:vAlign w:val="bottom"/>
            <w:hideMark/>
          </w:tcPr>
          <w:p w:rsidR="009141CD" w:rsidRPr="00AE0294" w:rsidRDefault="009141CD" w:rsidP="009141CD">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Avg. Balance</w:t>
            </w:r>
          </w:p>
        </w:tc>
        <w:tc>
          <w:tcPr>
            <w:tcW w:w="881"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104</w:t>
            </w:r>
          </w:p>
        </w:tc>
        <w:tc>
          <w:tcPr>
            <w:tcW w:w="880"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120</w:t>
            </w:r>
          </w:p>
        </w:tc>
        <w:tc>
          <w:tcPr>
            <w:tcW w:w="880"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138</w:t>
            </w:r>
          </w:p>
        </w:tc>
        <w:tc>
          <w:tcPr>
            <w:tcW w:w="880"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158</w:t>
            </w:r>
          </w:p>
        </w:tc>
        <w:tc>
          <w:tcPr>
            <w:tcW w:w="880"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180</w:t>
            </w:r>
          </w:p>
        </w:tc>
        <w:tc>
          <w:tcPr>
            <w:tcW w:w="880"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205</w:t>
            </w:r>
          </w:p>
        </w:tc>
        <w:tc>
          <w:tcPr>
            <w:tcW w:w="880"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234</w:t>
            </w:r>
          </w:p>
        </w:tc>
        <w:tc>
          <w:tcPr>
            <w:tcW w:w="880"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264</w:t>
            </w:r>
          </w:p>
        </w:tc>
      </w:tr>
      <w:tr w:rsidR="009141CD" w:rsidRPr="00AE0294" w:rsidTr="00240120">
        <w:trPr>
          <w:trHeight w:val="300"/>
        </w:trPr>
        <w:tc>
          <w:tcPr>
            <w:tcW w:w="799" w:type="dxa"/>
            <w:tcBorders>
              <w:top w:val="nil"/>
              <w:left w:val="single" w:sz="4" w:space="0" w:color="auto"/>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5</w:t>
            </w:r>
          </w:p>
        </w:tc>
        <w:tc>
          <w:tcPr>
            <w:tcW w:w="1464" w:type="dxa"/>
            <w:tcBorders>
              <w:top w:val="nil"/>
              <w:left w:val="nil"/>
              <w:bottom w:val="single" w:sz="4" w:space="0" w:color="auto"/>
              <w:right w:val="single" w:sz="4" w:space="0" w:color="auto"/>
            </w:tcBorders>
            <w:shd w:val="clear" w:color="000000" w:fill="FFFFFF"/>
            <w:vAlign w:val="bottom"/>
            <w:hideMark/>
          </w:tcPr>
          <w:p w:rsidR="009141CD" w:rsidRPr="00AE0294" w:rsidRDefault="009141CD" w:rsidP="009141CD">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Carrying Cost</w:t>
            </w:r>
          </w:p>
        </w:tc>
        <w:tc>
          <w:tcPr>
            <w:tcW w:w="881"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15.13%</w:t>
            </w:r>
          </w:p>
        </w:tc>
        <w:tc>
          <w:tcPr>
            <w:tcW w:w="880"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14.80%</w:t>
            </w:r>
          </w:p>
        </w:tc>
        <w:tc>
          <w:tcPr>
            <w:tcW w:w="880"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14.64%</w:t>
            </w:r>
          </w:p>
        </w:tc>
        <w:tc>
          <w:tcPr>
            <w:tcW w:w="880"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14.00%</w:t>
            </w:r>
          </w:p>
        </w:tc>
        <w:tc>
          <w:tcPr>
            <w:tcW w:w="880"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14.00%</w:t>
            </w:r>
          </w:p>
        </w:tc>
        <w:tc>
          <w:tcPr>
            <w:tcW w:w="880"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14.00%</w:t>
            </w:r>
          </w:p>
        </w:tc>
        <w:tc>
          <w:tcPr>
            <w:tcW w:w="880"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12.74%</w:t>
            </w:r>
          </w:p>
        </w:tc>
        <w:tc>
          <w:tcPr>
            <w:tcW w:w="880" w:type="dxa"/>
            <w:tcBorders>
              <w:top w:val="nil"/>
              <w:left w:val="nil"/>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12.08%</w:t>
            </w:r>
          </w:p>
        </w:tc>
      </w:tr>
      <w:tr w:rsidR="009141CD" w:rsidRPr="00AE0294" w:rsidTr="00240120">
        <w:trPr>
          <w:trHeight w:val="300"/>
        </w:trPr>
        <w:tc>
          <w:tcPr>
            <w:tcW w:w="799" w:type="dxa"/>
            <w:tcBorders>
              <w:top w:val="nil"/>
              <w:left w:val="single" w:sz="4" w:space="0" w:color="auto"/>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6</w:t>
            </w:r>
          </w:p>
        </w:tc>
        <w:tc>
          <w:tcPr>
            <w:tcW w:w="1464" w:type="dxa"/>
            <w:tcBorders>
              <w:top w:val="nil"/>
              <w:left w:val="nil"/>
              <w:bottom w:val="single" w:sz="4" w:space="0" w:color="auto"/>
              <w:right w:val="single" w:sz="4" w:space="0" w:color="auto"/>
            </w:tcBorders>
            <w:shd w:val="clear" w:color="000000" w:fill="FFFFFF"/>
            <w:vAlign w:val="bottom"/>
            <w:hideMark/>
          </w:tcPr>
          <w:p w:rsidR="009141CD" w:rsidRPr="00AE0294" w:rsidRDefault="009141CD" w:rsidP="009141CD">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Carrying Cost</w:t>
            </w:r>
          </w:p>
        </w:tc>
        <w:tc>
          <w:tcPr>
            <w:tcW w:w="881"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16</w:t>
            </w:r>
          </w:p>
        </w:tc>
        <w:tc>
          <w:tcPr>
            <w:tcW w:w="880"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18</w:t>
            </w:r>
          </w:p>
        </w:tc>
        <w:tc>
          <w:tcPr>
            <w:tcW w:w="880"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20</w:t>
            </w:r>
          </w:p>
        </w:tc>
        <w:tc>
          <w:tcPr>
            <w:tcW w:w="880"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22</w:t>
            </w:r>
          </w:p>
        </w:tc>
        <w:tc>
          <w:tcPr>
            <w:tcW w:w="880"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25</w:t>
            </w:r>
          </w:p>
        </w:tc>
        <w:tc>
          <w:tcPr>
            <w:tcW w:w="880"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29</w:t>
            </w:r>
          </w:p>
        </w:tc>
        <w:tc>
          <w:tcPr>
            <w:tcW w:w="880"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30</w:t>
            </w:r>
          </w:p>
        </w:tc>
        <w:tc>
          <w:tcPr>
            <w:tcW w:w="880"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cstheme="minorHAnsi"/>
                <w:color w:val="000000"/>
                <w:sz w:val="24"/>
                <w:szCs w:val="24"/>
              </w:rPr>
              <w:t>32</w:t>
            </w:r>
          </w:p>
        </w:tc>
      </w:tr>
      <w:tr w:rsidR="009141CD" w:rsidRPr="00AE0294" w:rsidTr="00240120">
        <w:trPr>
          <w:trHeight w:val="300"/>
        </w:trPr>
        <w:tc>
          <w:tcPr>
            <w:tcW w:w="799" w:type="dxa"/>
            <w:tcBorders>
              <w:top w:val="nil"/>
              <w:left w:val="single" w:sz="4" w:space="0" w:color="auto"/>
              <w:bottom w:val="single" w:sz="4" w:space="0" w:color="auto"/>
              <w:right w:val="single" w:sz="4" w:space="0" w:color="auto"/>
            </w:tcBorders>
            <w:shd w:val="clear" w:color="000000" w:fill="FFFFFF"/>
            <w:noWrap/>
            <w:vAlign w:val="center"/>
            <w:hideMark/>
          </w:tcPr>
          <w:p w:rsidR="009141CD" w:rsidRPr="00AE0294" w:rsidRDefault="009141CD" w:rsidP="009141CD">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7</w:t>
            </w:r>
          </w:p>
        </w:tc>
        <w:tc>
          <w:tcPr>
            <w:tcW w:w="1464" w:type="dxa"/>
            <w:tcBorders>
              <w:top w:val="nil"/>
              <w:left w:val="nil"/>
              <w:bottom w:val="single" w:sz="4" w:space="0" w:color="auto"/>
              <w:right w:val="single" w:sz="4" w:space="0" w:color="auto"/>
            </w:tcBorders>
            <w:shd w:val="clear" w:color="000000" w:fill="FFFFFF"/>
            <w:vAlign w:val="bottom"/>
            <w:hideMark/>
          </w:tcPr>
          <w:p w:rsidR="009141CD" w:rsidRPr="00AE0294" w:rsidRDefault="009141CD" w:rsidP="009141CD">
            <w:pPr>
              <w:spacing w:after="0" w:line="240" w:lineRule="auto"/>
              <w:rPr>
                <w:rFonts w:eastAsia="Times New Roman" w:cstheme="minorHAnsi"/>
                <w:color w:val="000000"/>
                <w:sz w:val="24"/>
                <w:szCs w:val="24"/>
                <w:lang w:eastAsia="en-IN"/>
              </w:rPr>
            </w:pPr>
            <w:r w:rsidRPr="00AE0294">
              <w:rPr>
                <w:rFonts w:eastAsia="Times New Roman" w:cstheme="minorHAnsi"/>
                <w:color w:val="000000"/>
                <w:sz w:val="24"/>
                <w:szCs w:val="24"/>
                <w:lang w:eastAsia="en-IN"/>
              </w:rPr>
              <w:t>Grand Balance</w:t>
            </w:r>
          </w:p>
        </w:tc>
        <w:tc>
          <w:tcPr>
            <w:tcW w:w="881"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cstheme="minorHAnsi"/>
                <w:b/>
                <w:bCs/>
                <w:color w:val="000000"/>
                <w:sz w:val="24"/>
                <w:szCs w:val="24"/>
              </w:rPr>
              <w:t>120</w:t>
            </w:r>
          </w:p>
        </w:tc>
        <w:tc>
          <w:tcPr>
            <w:tcW w:w="880"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cstheme="minorHAnsi"/>
                <w:b/>
                <w:bCs/>
                <w:color w:val="000000"/>
                <w:sz w:val="24"/>
                <w:szCs w:val="24"/>
              </w:rPr>
              <w:t>138</w:t>
            </w:r>
          </w:p>
        </w:tc>
        <w:tc>
          <w:tcPr>
            <w:tcW w:w="880"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cstheme="minorHAnsi"/>
                <w:b/>
                <w:bCs/>
                <w:color w:val="000000"/>
                <w:sz w:val="24"/>
                <w:szCs w:val="24"/>
              </w:rPr>
              <w:t>158</w:t>
            </w:r>
          </w:p>
        </w:tc>
        <w:tc>
          <w:tcPr>
            <w:tcW w:w="880"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cstheme="minorHAnsi"/>
                <w:b/>
                <w:bCs/>
                <w:color w:val="000000"/>
                <w:sz w:val="24"/>
                <w:szCs w:val="24"/>
              </w:rPr>
              <w:t>180</w:t>
            </w:r>
          </w:p>
        </w:tc>
        <w:tc>
          <w:tcPr>
            <w:tcW w:w="880"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cstheme="minorHAnsi"/>
                <w:b/>
                <w:bCs/>
                <w:color w:val="000000"/>
                <w:sz w:val="24"/>
                <w:szCs w:val="24"/>
              </w:rPr>
              <w:t>205</w:t>
            </w:r>
          </w:p>
        </w:tc>
        <w:tc>
          <w:tcPr>
            <w:tcW w:w="880"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cstheme="minorHAnsi"/>
                <w:b/>
                <w:bCs/>
                <w:color w:val="000000"/>
                <w:sz w:val="24"/>
                <w:szCs w:val="24"/>
              </w:rPr>
              <w:t>234</w:t>
            </w:r>
          </w:p>
        </w:tc>
        <w:tc>
          <w:tcPr>
            <w:tcW w:w="880"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cstheme="minorHAnsi"/>
                <w:b/>
                <w:bCs/>
                <w:color w:val="000000"/>
                <w:sz w:val="24"/>
                <w:szCs w:val="24"/>
              </w:rPr>
              <w:t>264</w:t>
            </w:r>
          </w:p>
        </w:tc>
        <w:tc>
          <w:tcPr>
            <w:tcW w:w="880" w:type="dxa"/>
            <w:tcBorders>
              <w:top w:val="nil"/>
              <w:left w:val="nil"/>
              <w:bottom w:val="single" w:sz="4" w:space="0" w:color="auto"/>
              <w:right w:val="single" w:sz="4" w:space="0" w:color="auto"/>
            </w:tcBorders>
            <w:shd w:val="clear" w:color="auto" w:fill="auto"/>
            <w:noWrap/>
            <w:vAlign w:val="center"/>
            <w:hideMark/>
          </w:tcPr>
          <w:p w:rsidR="009141CD" w:rsidRPr="00AE0294" w:rsidRDefault="009141CD" w:rsidP="009141CD">
            <w:pPr>
              <w:spacing w:after="0" w:line="240" w:lineRule="auto"/>
              <w:jc w:val="center"/>
              <w:rPr>
                <w:rFonts w:eastAsia="Times New Roman" w:cstheme="minorHAnsi"/>
                <w:b/>
                <w:bCs/>
                <w:color w:val="000000"/>
                <w:sz w:val="24"/>
                <w:szCs w:val="24"/>
                <w:lang w:eastAsia="en-IN"/>
              </w:rPr>
            </w:pPr>
            <w:r w:rsidRPr="00AE0294">
              <w:rPr>
                <w:rFonts w:cstheme="minorHAnsi"/>
                <w:b/>
                <w:bCs/>
                <w:color w:val="000000"/>
                <w:sz w:val="24"/>
                <w:szCs w:val="24"/>
              </w:rPr>
              <w:t>295</w:t>
            </w:r>
          </w:p>
        </w:tc>
      </w:tr>
    </w:tbl>
    <w:p w:rsidR="009141CD" w:rsidRPr="00AE0294" w:rsidRDefault="009141CD" w:rsidP="009141CD">
      <w:pPr>
        <w:pStyle w:val="ARRB11"/>
        <w:numPr>
          <w:ilvl w:val="0"/>
          <w:numId w:val="0"/>
        </w:numPr>
        <w:ind w:left="990"/>
        <w:rPr>
          <w:szCs w:val="24"/>
          <w:lang w:bidi="te-IN"/>
        </w:rPr>
      </w:pPr>
    </w:p>
    <w:bookmarkEnd w:id="23"/>
    <w:bookmarkEnd w:id="24"/>
    <w:p w:rsidR="009141CD" w:rsidRPr="00AE0294" w:rsidRDefault="007A3406" w:rsidP="009141CD">
      <w:pPr>
        <w:pStyle w:val="Heading2"/>
        <w:spacing w:before="120"/>
        <w:rPr>
          <w:rFonts w:asciiTheme="minorHAnsi" w:hAnsiTheme="minorHAnsi" w:cstheme="minorHAnsi"/>
          <w:sz w:val="24"/>
          <w:szCs w:val="24"/>
        </w:rPr>
      </w:pPr>
      <w:r w:rsidRPr="00AE0294">
        <w:rPr>
          <w:rFonts w:asciiTheme="minorHAnsi" w:hAnsiTheme="minorHAnsi" w:cstheme="minorHAnsi"/>
          <w:sz w:val="24"/>
          <w:szCs w:val="24"/>
        </w:rPr>
        <w:t>Issue 2</w:t>
      </w:r>
      <w:r w:rsidR="009141CD" w:rsidRPr="00AE0294">
        <w:rPr>
          <w:rFonts w:asciiTheme="minorHAnsi" w:hAnsiTheme="minorHAnsi" w:cstheme="minorHAnsi"/>
          <w:sz w:val="24"/>
          <w:szCs w:val="24"/>
        </w:rPr>
        <w:t>.</w:t>
      </w:r>
      <w:r w:rsidRPr="00AE0294">
        <w:rPr>
          <w:rFonts w:asciiTheme="minorHAnsi" w:hAnsiTheme="minorHAnsi" w:cstheme="minorHAnsi"/>
          <w:sz w:val="24"/>
          <w:szCs w:val="24"/>
        </w:rPr>
        <w:t>6</w:t>
      </w:r>
      <w:r w:rsidR="009141CD" w:rsidRPr="00AE0294">
        <w:rPr>
          <w:rFonts w:asciiTheme="minorHAnsi" w:hAnsiTheme="minorHAnsi" w:cstheme="minorHAnsi"/>
          <w:sz w:val="24"/>
          <w:szCs w:val="24"/>
        </w:rPr>
        <w:t xml:space="preserve">: R&amp;M </w:t>
      </w:r>
      <w:r w:rsidR="007C08C1" w:rsidRPr="00AE0294">
        <w:rPr>
          <w:rFonts w:asciiTheme="minorHAnsi" w:hAnsiTheme="minorHAnsi" w:cstheme="minorHAnsi"/>
          <w:sz w:val="24"/>
          <w:szCs w:val="24"/>
        </w:rPr>
        <w:t xml:space="preserve">and A&amp;G </w:t>
      </w:r>
      <w:r w:rsidR="009141CD" w:rsidRPr="00AE0294">
        <w:rPr>
          <w:rFonts w:asciiTheme="minorHAnsi" w:hAnsiTheme="minorHAnsi" w:cstheme="minorHAnsi"/>
          <w:sz w:val="24"/>
          <w:szCs w:val="24"/>
        </w:rPr>
        <w:t>expenses for FY 2004-05</w:t>
      </w:r>
    </w:p>
    <w:p w:rsidR="00A4060F" w:rsidRPr="00AE0294" w:rsidRDefault="00A4060F" w:rsidP="007D37C9">
      <w:pPr>
        <w:pStyle w:val="ARRB11"/>
        <w:numPr>
          <w:ilvl w:val="1"/>
          <w:numId w:val="2"/>
        </w:numPr>
        <w:tabs>
          <w:tab w:val="clear" w:pos="1440"/>
        </w:tabs>
        <w:ind w:left="993" w:hanging="993"/>
        <w:rPr>
          <w:szCs w:val="24"/>
        </w:rPr>
      </w:pPr>
      <w:r w:rsidRPr="00AE0294">
        <w:rPr>
          <w:szCs w:val="24"/>
        </w:rPr>
        <w:t xml:space="preserve">This issue has been allowed by the Hon’ble APTEL in Order dated 06.10.2009 and has attained finality vide Hon’ble SC Order dated 01.12.2021 (as the APTEL Order was not challenged by the Hon’ble Commission on this issue) and is yet to implemented in letter and spirit. </w:t>
      </w:r>
    </w:p>
    <w:p w:rsidR="009141CD" w:rsidRPr="00AE0294" w:rsidRDefault="009141CD" w:rsidP="007D37C9">
      <w:pPr>
        <w:pStyle w:val="ARRB11"/>
        <w:numPr>
          <w:ilvl w:val="1"/>
          <w:numId w:val="2"/>
        </w:numPr>
        <w:tabs>
          <w:tab w:val="clear" w:pos="1440"/>
        </w:tabs>
        <w:ind w:left="993" w:hanging="993"/>
        <w:rPr>
          <w:szCs w:val="24"/>
          <w:lang w:bidi="te-IN"/>
        </w:rPr>
      </w:pPr>
      <w:r w:rsidRPr="00AE0294">
        <w:rPr>
          <w:szCs w:val="24"/>
          <w:lang w:bidi="te-IN"/>
        </w:rPr>
        <w:t>The Hon’ble APTEL in Judgment dated October 6, 2009 (Appeal No. 36 of 2008) has held that the Hon’ble Commission should true up R&amp;M and A&amp;G expenses</w:t>
      </w:r>
      <w:r w:rsidR="00A4060F" w:rsidRPr="00AE0294">
        <w:rPr>
          <w:szCs w:val="24"/>
          <w:lang w:bidi="te-IN"/>
        </w:rPr>
        <w:t xml:space="preserve"> </w:t>
      </w:r>
      <w:r w:rsidRPr="00AE0294">
        <w:rPr>
          <w:szCs w:val="24"/>
          <w:lang w:bidi="te-IN"/>
        </w:rPr>
        <w:t xml:space="preserve">for FY 2004-05 </w:t>
      </w:r>
      <w:r w:rsidR="00A4060F" w:rsidRPr="00AE0294">
        <w:rPr>
          <w:szCs w:val="24"/>
          <w:lang w:bidi="te-IN"/>
        </w:rPr>
        <w:t xml:space="preserve">to FY 2006-07 </w:t>
      </w:r>
      <w:r w:rsidRPr="00AE0294">
        <w:rPr>
          <w:szCs w:val="24"/>
          <w:lang w:bidi="te-IN"/>
        </w:rPr>
        <w:t>on the basis of the audited accounts. The relevant extracts are reproduced below:</w:t>
      </w:r>
    </w:p>
    <w:p w:rsidR="009141CD" w:rsidRPr="00AE0294" w:rsidRDefault="009141CD" w:rsidP="009141CD">
      <w:pPr>
        <w:pStyle w:val="ARRB11"/>
        <w:numPr>
          <w:ilvl w:val="0"/>
          <w:numId w:val="0"/>
        </w:numPr>
        <w:ind w:left="1418"/>
        <w:rPr>
          <w:i/>
          <w:szCs w:val="24"/>
          <w:lang w:bidi="te-IN"/>
        </w:rPr>
      </w:pPr>
      <w:r w:rsidRPr="00AE0294">
        <w:rPr>
          <w:i/>
          <w:szCs w:val="24"/>
          <w:lang w:bidi="te-IN"/>
        </w:rPr>
        <w:lastRenderedPageBreak/>
        <w:t>“4.1Disallowance of R&amp;M expenses:</w:t>
      </w:r>
    </w:p>
    <w:p w:rsidR="009141CD" w:rsidRPr="00AE0294" w:rsidRDefault="009141CD" w:rsidP="009141CD">
      <w:pPr>
        <w:pStyle w:val="ARRB11"/>
        <w:numPr>
          <w:ilvl w:val="0"/>
          <w:numId w:val="0"/>
        </w:numPr>
        <w:ind w:left="1418"/>
        <w:rPr>
          <w:i/>
          <w:szCs w:val="24"/>
          <w:lang w:bidi="te-IN"/>
        </w:rPr>
      </w:pPr>
      <w:r w:rsidRPr="00AE0294">
        <w:rPr>
          <w:i/>
          <w:szCs w:val="24"/>
          <w:lang w:bidi="te-IN"/>
        </w:rPr>
        <w:t>14) R&amp;M expenses disallowed for the FY 2004-05, 05-06 and 06-07 has been to the tune of Rs.13.01 Crores, Rs.1.85 Crores and Rs.18.51 Crores respectively…..</w:t>
      </w:r>
    </w:p>
    <w:p w:rsidR="009141CD" w:rsidRPr="00AE0294" w:rsidRDefault="009141CD" w:rsidP="009141CD">
      <w:pPr>
        <w:pStyle w:val="ARRB11"/>
        <w:numPr>
          <w:ilvl w:val="0"/>
          <w:numId w:val="0"/>
        </w:numPr>
        <w:ind w:left="1418"/>
        <w:rPr>
          <w:i/>
          <w:szCs w:val="24"/>
          <w:lang w:bidi="te-IN"/>
        </w:rPr>
      </w:pPr>
      <w:r w:rsidRPr="00AE0294">
        <w:rPr>
          <w:i/>
          <w:szCs w:val="24"/>
          <w:lang w:bidi="te-IN"/>
        </w:rPr>
        <w:t>91)…We are of the opinion that R&amp;M expenses properly incurred should be approved and in case there is any gap between the demand made by the appellant and the amount sanctioned by the Commission, the Commission should enter into the exercise of a prudent check and grant the approval to such expenses. The appellant would be bound to produce whatever expenses or material that may be required for permitting the Commission to carry out a prudent check…”</w:t>
      </w:r>
    </w:p>
    <w:p w:rsidR="009141CD" w:rsidRPr="00AE0294" w:rsidRDefault="009141CD" w:rsidP="009141CD">
      <w:pPr>
        <w:pStyle w:val="ARRB11"/>
        <w:numPr>
          <w:ilvl w:val="0"/>
          <w:numId w:val="0"/>
        </w:numPr>
        <w:ind w:left="1418"/>
        <w:rPr>
          <w:i/>
          <w:szCs w:val="24"/>
          <w:u w:val="single"/>
          <w:lang w:bidi="te-IN"/>
        </w:rPr>
      </w:pPr>
      <w:r w:rsidRPr="00AE0294">
        <w:rPr>
          <w:i/>
          <w:szCs w:val="24"/>
          <w:u w:val="single"/>
          <w:lang w:bidi="te-IN"/>
        </w:rPr>
        <w:t>Regarding Administrative and General Expenses (A&amp;G):</w:t>
      </w:r>
    </w:p>
    <w:p w:rsidR="009141CD" w:rsidRPr="00AE0294" w:rsidRDefault="009141CD" w:rsidP="009141CD">
      <w:pPr>
        <w:pStyle w:val="ARRB11"/>
        <w:numPr>
          <w:ilvl w:val="0"/>
          <w:numId w:val="0"/>
        </w:numPr>
        <w:ind w:left="1418"/>
        <w:rPr>
          <w:i/>
          <w:szCs w:val="24"/>
          <w:lang w:bidi="te-IN"/>
        </w:rPr>
      </w:pPr>
      <w:r w:rsidRPr="00AE0294">
        <w:rPr>
          <w:i/>
          <w:szCs w:val="24"/>
          <w:lang w:bidi="te-IN"/>
        </w:rPr>
        <w:t>10) The appellant claims to have incurred expenditure of Rs.37.37 Crores towards A&amp;G expenses in the FY 2004-05. The Commissionhas allowed Rs.26.98 Crores. It is alleged that the Commission has done a second truing up of A&amp;G expenses for the FY 2004-05 in its tariff order for the FY 2006-07 which is not permissible….</w:t>
      </w:r>
    </w:p>
    <w:p w:rsidR="009141CD" w:rsidRPr="00AE0294" w:rsidRDefault="009141CD" w:rsidP="009141CD">
      <w:pPr>
        <w:pStyle w:val="ARRB11"/>
        <w:numPr>
          <w:ilvl w:val="0"/>
          <w:numId w:val="0"/>
        </w:numPr>
        <w:ind w:left="1418"/>
        <w:rPr>
          <w:i/>
          <w:szCs w:val="24"/>
          <w:lang w:bidi="te-IN"/>
        </w:rPr>
      </w:pPr>
      <w:r w:rsidRPr="00AE0294">
        <w:rPr>
          <w:i/>
          <w:szCs w:val="24"/>
          <w:lang w:bidi="te-IN"/>
        </w:rPr>
        <w:t>97)….It appears that the Commission is yet to true up the accounts for the year 2004-05 on the basis of the audited accounts and whenever such truing up is done the appellant’s grievance of denial of administrative and general expenses of 2004-05 should disappear..”</w:t>
      </w:r>
    </w:p>
    <w:p w:rsidR="009141CD" w:rsidRPr="00AE0294" w:rsidRDefault="00A4060F" w:rsidP="007D37C9">
      <w:pPr>
        <w:pStyle w:val="ARRB11"/>
        <w:numPr>
          <w:ilvl w:val="1"/>
          <w:numId w:val="2"/>
        </w:numPr>
        <w:tabs>
          <w:tab w:val="clear" w:pos="1440"/>
        </w:tabs>
        <w:ind w:left="993" w:hanging="993"/>
        <w:rPr>
          <w:szCs w:val="24"/>
          <w:lang w:bidi="te-IN"/>
        </w:rPr>
      </w:pPr>
      <w:r w:rsidRPr="00AE0294">
        <w:rPr>
          <w:szCs w:val="24"/>
          <w:lang w:bidi="te-IN"/>
        </w:rPr>
        <w:t>It is pertinent to mention that the Hon’ble Commission has already</w:t>
      </w:r>
      <w:r w:rsidR="009141CD" w:rsidRPr="00AE0294">
        <w:rPr>
          <w:szCs w:val="24"/>
          <w:lang w:bidi="te-IN"/>
        </w:rPr>
        <w:t xml:space="preserve"> implemented </w:t>
      </w:r>
      <w:r w:rsidRPr="00AE0294">
        <w:rPr>
          <w:szCs w:val="24"/>
          <w:lang w:bidi="te-IN"/>
        </w:rPr>
        <w:t xml:space="preserve">the </w:t>
      </w:r>
      <w:r w:rsidR="00967793" w:rsidRPr="00AE0294">
        <w:rPr>
          <w:szCs w:val="24"/>
          <w:lang w:bidi="te-IN"/>
        </w:rPr>
        <w:t xml:space="preserve">APTEL judgment on this </w:t>
      </w:r>
      <w:r w:rsidRPr="00AE0294">
        <w:rPr>
          <w:szCs w:val="24"/>
          <w:lang w:bidi="te-IN"/>
        </w:rPr>
        <w:t xml:space="preserve">issue for two Financial Years i.e FY 2005-06 and </w:t>
      </w:r>
      <w:r w:rsidR="009141CD" w:rsidRPr="00AE0294">
        <w:rPr>
          <w:szCs w:val="24"/>
          <w:lang w:bidi="te-IN"/>
        </w:rPr>
        <w:t xml:space="preserve">FY 2006-07. However, the Hon'ble Commission </w:t>
      </w:r>
      <w:r w:rsidR="00967793" w:rsidRPr="00AE0294">
        <w:rPr>
          <w:szCs w:val="24"/>
          <w:lang w:bidi="te-IN"/>
        </w:rPr>
        <w:t xml:space="preserve">has </w:t>
      </w:r>
      <w:r w:rsidR="009141CD" w:rsidRPr="00AE0294">
        <w:rPr>
          <w:szCs w:val="24"/>
          <w:lang w:bidi="te-IN"/>
        </w:rPr>
        <w:t xml:space="preserve">omitted to implement the same in respect of FY 2004-05. </w:t>
      </w:r>
    </w:p>
    <w:p w:rsidR="0088383B" w:rsidRPr="00AE0294" w:rsidRDefault="0088383B" w:rsidP="007D37C9">
      <w:pPr>
        <w:pStyle w:val="ARRB11"/>
        <w:numPr>
          <w:ilvl w:val="1"/>
          <w:numId w:val="2"/>
        </w:numPr>
        <w:tabs>
          <w:tab w:val="clear" w:pos="1440"/>
        </w:tabs>
        <w:ind w:left="993" w:hanging="993"/>
        <w:rPr>
          <w:szCs w:val="24"/>
          <w:lang w:bidi="te-IN"/>
        </w:rPr>
      </w:pPr>
      <w:r w:rsidRPr="00AE0294">
        <w:rPr>
          <w:szCs w:val="24"/>
          <w:lang w:val="en-IN" w:bidi="te-IN"/>
        </w:rPr>
        <w:t xml:space="preserve">The Financial impact of this issue along with carrying cost is tabulated </w:t>
      </w:r>
      <w:r w:rsidRPr="00AE0294">
        <w:rPr>
          <w:szCs w:val="24"/>
          <w:lang w:bidi="te-IN"/>
        </w:rPr>
        <w:t>below:</w:t>
      </w:r>
    </w:p>
    <w:p w:rsidR="009C4F70" w:rsidRDefault="009C4F70" w:rsidP="009C4F70">
      <w:pPr>
        <w:pStyle w:val="Heading2"/>
        <w:spacing w:before="120"/>
        <w:jc w:val="center"/>
        <w:rPr>
          <w:rFonts w:asciiTheme="minorHAnsi" w:hAnsiTheme="minorHAnsi" w:cstheme="minorHAnsi"/>
          <w:sz w:val="24"/>
          <w:szCs w:val="24"/>
        </w:rPr>
      </w:pPr>
      <w:bookmarkStart w:id="27" w:name="_Toc120734119"/>
      <w:r w:rsidRPr="00AE0294">
        <w:rPr>
          <w:rFonts w:cstheme="minorHAnsi"/>
          <w:color w:val="000000" w:themeColor="text1"/>
          <w:sz w:val="24"/>
          <w:szCs w:val="24"/>
        </w:rPr>
        <w:t xml:space="preserve">Table 3B </w:t>
      </w:r>
      <w:r w:rsidRPr="00AE0294">
        <w:rPr>
          <w:rFonts w:cstheme="minorHAnsi"/>
          <w:b w:val="0"/>
          <w:i/>
          <w:color w:val="000000" w:themeColor="text1"/>
          <w:sz w:val="24"/>
          <w:szCs w:val="24"/>
        </w:rPr>
        <w:fldChar w:fldCharType="begin"/>
      </w:r>
      <w:r w:rsidRPr="00AE0294">
        <w:rPr>
          <w:rFonts w:cstheme="minorHAnsi"/>
          <w:color w:val="000000" w:themeColor="text1"/>
          <w:sz w:val="24"/>
          <w:szCs w:val="24"/>
        </w:rPr>
        <w:instrText xml:space="preserve"> SEQ Table_3B \* ARABIC </w:instrText>
      </w:r>
      <w:r w:rsidRPr="00AE0294">
        <w:rPr>
          <w:rFonts w:cstheme="minorHAnsi"/>
          <w:b w:val="0"/>
          <w:i/>
          <w:color w:val="000000" w:themeColor="text1"/>
          <w:sz w:val="24"/>
          <w:szCs w:val="24"/>
        </w:rPr>
        <w:fldChar w:fldCharType="separate"/>
      </w:r>
      <w:r w:rsidR="006D2E03">
        <w:rPr>
          <w:rFonts w:cstheme="minorHAnsi"/>
          <w:noProof/>
          <w:color w:val="000000" w:themeColor="text1"/>
          <w:sz w:val="24"/>
          <w:szCs w:val="24"/>
        </w:rPr>
        <w:t>11</w:t>
      </w:r>
      <w:r w:rsidRPr="00AE0294">
        <w:rPr>
          <w:rFonts w:cstheme="minorHAnsi"/>
          <w:b w:val="0"/>
          <w:i/>
          <w:color w:val="000000" w:themeColor="text1"/>
          <w:sz w:val="24"/>
          <w:szCs w:val="24"/>
        </w:rPr>
        <w:fldChar w:fldCharType="end"/>
      </w:r>
      <w:r w:rsidRPr="00AE0294">
        <w:rPr>
          <w:rFonts w:cstheme="minorHAnsi"/>
          <w:color w:val="000000" w:themeColor="text1"/>
          <w:sz w:val="24"/>
          <w:szCs w:val="24"/>
        </w:rPr>
        <w:t xml:space="preserve">: </w:t>
      </w:r>
      <w:r w:rsidRPr="00AE0294">
        <w:rPr>
          <w:rFonts w:asciiTheme="minorHAnsi" w:hAnsiTheme="minorHAnsi" w:cstheme="minorHAnsi"/>
          <w:sz w:val="24"/>
          <w:szCs w:val="24"/>
        </w:rPr>
        <w:t>R&amp;M and A&amp;G expenses for FY 2004-05</w:t>
      </w:r>
      <w:bookmarkEnd w:id="27"/>
    </w:p>
    <w:tbl>
      <w:tblPr>
        <w:tblW w:w="9802" w:type="dxa"/>
        <w:tblLook w:val="04A0" w:firstRow="1" w:lastRow="0" w:firstColumn="1" w:lastColumn="0" w:noHBand="0" w:noVBand="1"/>
      </w:tblPr>
      <w:tblGrid>
        <w:gridCol w:w="504"/>
        <w:gridCol w:w="1278"/>
        <w:gridCol w:w="960"/>
        <w:gridCol w:w="1300"/>
        <w:gridCol w:w="960"/>
        <w:gridCol w:w="960"/>
        <w:gridCol w:w="960"/>
        <w:gridCol w:w="960"/>
        <w:gridCol w:w="960"/>
        <w:gridCol w:w="960"/>
      </w:tblGrid>
      <w:tr w:rsidR="009C4F70" w:rsidRPr="009C4F70" w:rsidTr="009C4F70">
        <w:trPr>
          <w:trHeight w:val="315"/>
          <w:tblHead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4F70" w:rsidRPr="009C4F70" w:rsidRDefault="009C4F70" w:rsidP="009C4F70">
            <w:pPr>
              <w:spacing w:after="0" w:line="240" w:lineRule="auto"/>
              <w:jc w:val="center"/>
              <w:rPr>
                <w:rFonts w:ascii="Calibri" w:eastAsia="Times New Roman" w:hAnsi="Calibri" w:cs="Calibri"/>
                <w:b/>
                <w:bCs/>
                <w:color w:val="000000"/>
                <w:sz w:val="24"/>
                <w:szCs w:val="24"/>
                <w:lang w:eastAsia="en-IN"/>
              </w:rPr>
            </w:pPr>
            <w:r w:rsidRPr="009C4F70">
              <w:rPr>
                <w:rFonts w:ascii="Calibri" w:eastAsia="Times New Roman" w:hAnsi="Calibri" w:cs="Calibri"/>
                <w:b/>
                <w:bCs/>
                <w:color w:val="000000"/>
                <w:sz w:val="24"/>
                <w:szCs w:val="24"/>
                <w:lang w:eastAsia="en-IN"/>
              </w:rPr>
              <w:t>S. No</w:t>
            </w:r>
          </w:p>
        </w:tc>
        <w:tc>
          <w:tcPr>
            <w:tcW w:w="1278" w:type="dxa"/>
            <w:tcBorders>
              <w:top w:val="single" w:sz="4" w:space="0" w:color="auto"/>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b/>
                <w:bCs/>
                <w:color w:val="000000"/>
                <w:sz w:val="24"/>
                <w:szCs w:val="24"/>
                <w:lang w:eastAsia="en-IN"/>
              </w:rPr>
            </w:pPr>
            <w:r w:rsidRPr="009C4F70">
              <w:rPr>
                <w:rFonts w:ascii="Calibri" w:eastAsia="Times New Roman" w:hAnsi="Calibri" w:cs="Calibri"/>
                <w:b/>
                <w:bCs/>
                <w:color w:val="000000"/>
                <w:sz w:val="24"/>
                <w:szCs w:val="24"/>
                <w:lang w:eastAsia="en-IN"/>
              </w:rPr>
              <w:t>Particulars</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b/>
                <w:bCs/>
                <w:color w:val="000000"/>
                <w:sz w:val="24"/>
                <w:szCs w:val="24"/>
                <w:lang w:eastAsia="en-IN"/>
              </w:rPr>
            </w:pPr>
            <w:r w:rsidRPr="009C4F70">
              <w:rPr>
                <w:rFonts w:ascii="Calibri" w:eastAsia="Times New Roman" w:hAnsi="Calibri" w:cs="Calibri"/>
                <w:b/>
                <w:bCs/>
                <w:color w:val="000000"/>
                <w:sz w:val="24"/>
                <w:szCs w:val="24"/>
                <w:lang w:eastAsia="en-IN"/>
              </w:rPr>
              <w:t>FY 05</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b/>
                <w:bCs/>
                <w:color w:val="000000"/>
                <w:sz w:val="24"/>
                <w:szCs w:val="24"/>
                <w:lang w:eastAsia="en-IN"/>
              </w:rPr>
            </w:pPr>
            <w:r w:rsidRPr="009C4F70">
              <w:rPr>
                <w:rFonts w:ascii="Calibri" w:eastAsia="Times New Roman" w:hAnsi="Calibri" w:cs="Calibri"/>
                <w:b/>
                <w:bCs/>
                <w:color w:val="000000"/>
                <w:sz w:val="24"/>
                <w:szCs w:val="24"/>
                <w:lang w:eastAsia="en-IN"/>
              </w:rPr>
              <w:t>FY 06</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b/>
                <w:bCs/>
                <w:color w:val="000000"/>
                <w:sz w:val="24"/>
                <w:szCs w:val="24"/>
                <w:lang w:eastAsia="en-IN"/>
              </w:rPr>
            </w:pPr>
            <w:r w:rsidRPr="009C4F70">
              <w:rPr>
                <w:rFonts w:ascii="Calibri" w:eastAsia="Times New Roman" w:hAnsi="Calibri" w:cs="Calibri"/>
                <w:b/>
                <w:bCs/>
                <w:color w:val="000000"/>
                <w:sz w:val="24"/>
                <w:szCs w:val="24"/>
                <w:lang w:eastAsia="en-IN"/>
              </w:rPr>
              <w:t>FY 07</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b/>
                <w:bCs/>
                <w:color w:val="000000"/>
                <w:sz w:val="24"/>
                <w:szCs w:val="24"/>
                <w:lang w:eastAsia="en-IN"/>
              </w:rPr>
            </w:pPr>
            <w:r w:rsidRPr="009C4F70">
              <w:rPr>
                <w:rFonts w:ascii="Calibri" w:eastAsia="Times New Roman" w:hAnsi="Calibri" w:cs="Calibri"/>
                <w:b/>
                <w:bCs/>
                <w:color w:val="000000"/>
                <w:sz w:val="24"/>
                <w:szCs w:val="24"/>
                <w:lang w:eastAsia="en-IN"/>
              </w:rPr>
              <w:t>FY 08</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b/>
                <w:bCs/>
                <w:color w:val="000000"/>
                <w:sz w:val="24"/>
                <w:szCs w:val="24"/>
                <w:lang w:eastAsia="en-IN"/>
              </w:rPr>
            </w:pPr>
            <w:r w:rsidRPr="009C4F70">
              <w:rPr>
                <w:rFonts w:ascii="Calibri" w:eastAsia="Times New Roman" w:hAnsi="Calibri" w:cs="Calibri"/>
                <w:b/>
                <w:bCs/>
                <w:color w:val="000000"/>
                <w:sz w:val="24"/>
                <w:szCs w:val="24"/>
                <w:lang w:eastAsia="en-IN"/>
              </w:rPr>
              <w:t>FY 09</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b/>
                <w:bCs/>
                <w:color w:val="000000"/>
                <w:sz w:val="24"/>
                <w:szCs w:val="24"/>
                <w:lang w:eastAsia="en-IN"/>
              </w:rPr>
            </w:pPr>
            <w:r w:rsidRPr="009C4F70">
              <w:rPr>
                <w:rFonts w:ascii="Calibri" w:eastAsia="Times New Roman" w:hAnsi="Calibri" w:cs="Calibri"/>
                <w:b/>
                <w:bCs/>
                <w:color w:val="000000"/>
                <w:sz w:val="24"/>
                <w:szCs w:val="24"/>
                <w:lang w:eastAsia="en-IN"/>
              </w:rPr>
              <w:t>FY 10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b/>
                <w:bCs/>
                <w:color w:val="000000"/>
                <w:sz w:val="24"/>
                <w:szCs w:val="24"/>
                <w:lang w:eastAsia="en-IN"/>
              </w:rPr>
            </w:pPr>
            <w:r w:rsidRPr="009C4F70">
              <w:rPr>
                <w:rFonts w:ascii="Calibri" w:eastAsia="Times New Roman" w:hAnsi="Calibri" w:cs="Calibri"/>
                <w:b/>
                <w:bCs/>
                <w:color w:val="000000"/>
                <w:sz w:val="24"/>
                <w:szCs w:val="24"/>
                <w:lang w:eastAsia="en-IN"/>
              </w:rPr>
              <w:t>FY 11</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b/>
                <w:bCs/>
                <w:color w:val="000000"/>
                <w:sz w:val="24"/>
                <w:szCs w:val="24"/>
                <w:lang w:eastAsia="en-IN"/>
              </w:rPr>
            </w:pPr>
            <w:r w:rsidRPr="009C4F70">
              <w:rPr>
                <w:rFonts w:ascii="Calibri" w:eastAsia="Times New Roman" w:hAnsi="Calibri" w:cs="Calibri"/>
                <w:b/>
                <w:bCs/>
                <w:color w:val="000000"/>
                <w:sz w:val="24"/>
                <w:szCs w:val="24"/>
                <w:lang w:eastAsia="en-IN"/>
              </w:rPr>
              <w:t>FY 12</w:t>
            </w:r>
          </w:p>
        </w:tc>
      </w:tr>
      <w:tr w:rsidR="009C4F70" w:rsidRPr="009C4F70" w:rsidTr="009C4F70">
        <w:trPr>
          <w:trHeight w:val="315"/>
        </w:trPr>
        <w:tc>
          <w:tcPr>
            <w:tcW w:w="504" w:type="dxa"/>
            <w:tcBorders>
              <w:top w:val="nil"/>
              <w:left w:val="single" w:sz="4" w:space="0" w:color="auto"/>
              <w:bottom w:val="single" w:sz="4" w:space="0" w:color="auto"/>
              <w:right w:val="single" w:sz="4" w:space="0" w:color="auto"/>
            </w:tcBorders>
            <w:shd w:val="clear" w:color="auto" w:fill="auto"/>
            <w:vAlign w:val="bottom"/>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1</w:t>
            </w:r>
          </w:p>
        </w:tc>
        <w:tc>
          <w:tcPr>
            <w:tcW w:w="1278" w:type="dxa"/>
            <w:tcBorders>
              <w:top w:val="nil"/>
              <w:left w:val="nil"/>
              <w:bottom w:val="single" w:sz="4" w:space="0" w:color="auto"/>
              <w:right w:val="single" w:sz="4" w:space="0" w:color="auto"/>
            </w:tcBorders>
            <w:shd w:val="clear" w:color="auto" w:fill="auto"/>
            <w:noWrap/>
            <w:vAlign w:val="bottom"/>
            <w:hideMark/>
          </w:tcPr>
          <w:p w:rsidR="009C4F70" w:rsidRPr="009C4F70" w:rsidRDefault="009C4F70" w:rsidP="009C4F70">
            <w:pPr>
              <w:spacing w:after="0" w:line="240" w:lineRule="auto"/>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Opening balance</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0</w:t>
            </w:r>
          </w:p>
        </w:tc>
        <w:tc>
          <w:tcPr>
            <w:tcW w:w="130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29</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32</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34</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39</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44</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50</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57</w:t>
            </w:r>
          </w:p>
        </w:tc>
      </w:tr>
      <w:tr w:rsidR="009C4F70" w:rsidRPr="009C4F70" w:rsidTr="009C4F70">
        <w:trPr>
          <w:trHeight w:val="315"/>
        </w:trPr>
        <w:tc>
          <w:tcPr>
            <w:tcW w:w="504" w:type="dxa"/>
            <w:tcBorders>
              <w:top w:val="nil"/>
              <w:left w:val="single" w:sz="4" w:space="0" w:color="auto"/>
              <w:bottom w:val="single" w:sz="4" w:space="0" w:color="auto"/>
              <w:right w:val="single" w:sz="4" w:space="0" w:color="auto"/>
            </w:tcBorders>
            <w:shd w:val="clear" w:color="auto" w:fill="auto"/>
            <w:vAlign w:val="bottom"/>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2</w:t>
            </w:r>
          </w:p>
        </w:tc>
        <w:tc>
          <w:tcPr>
            <w:tcW w:w="1278" w:type="dxa"/>
            <w:tcBorders>
              <w:top w:val="nil"/>
              <w:left w:val="nil"/>
              <w:bottom w:val="single" w:sz="4" w:space="0" w:color="auto"/>
              <w:right w:val="single" w:sz="4" w:space="0" w:color="auto"/>
            </w:tcBorders>
            <w:shd w:val="clear" w:color="auto" w:fill="auto"/>
            <w:noWrap/>
            <w:vAlign w:val="bottom"/>
            <w:hideMark/>
          </w:tcPr>
          <w:p w:rsidR="009C4F70" w:rsidRPr="009C4F70" w:rsidRDefault="009C4F70" w:rsidP="009C4F70">
            <w:pPr>
              <w:spacing w:after="0" w:line="240" w:lineRule="auto"/>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Additions</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28</w:t>
            </w:r>
          </w:p>
        </w:tc>
        <w:tc>
          <w:tcPr>
            <w:tcW w:w="130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p>
        </w:tc>
      </w:tr>
      <w:tr w:rsidR="009C4F70" w:rsidRPr="009C4F70" w:rsidTr="009C4F70">
        <w:trPr>
          <w:trHeight w:val="315"/>
        </w:trPr>
        <w:tc>
          <w:tcPr>
            <w:tcW w:w="504" w:type="dxa"/>
            <w:tcBorders>
              <w:top w:val="nil"/>
              <w:left w:val="single" w:sz="4" w:space="0" w:color="auto"/>
              <w:bottom w:val="single" w:sz="4" w:space="0" w:color="auto"/>
              <w:right w:val="single" w:sz="4" w:space="0" w:color="auto"/>
            </w:tcBorders>
            <w:shd w:val="clear" w:color="auto" w:fill="auto"/>
            <w:vAlign w:val="bottom"/>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3</w:t>
            </w:r>
          </w:p>
        </w:tc>
        <w:tc>
          <w:tcPr>
            <w:tcW w:w="1278" w:type="dxa"/>
            <w:tcBorders>
              <w:top w:val="nil"/>
              <w:left w:val="nil"/>
              <w:bottom w:val="single" w:sz="4" w:space="0" w:color="auto"/>
              <w:right w:val="single" w:sz="4" w:space="0" w:color="auto"/>
            </w:tcBorders>
            <w:shd w:val="clear" w:color="auto" w:fill="auto"/>
            <w:noWrap/>
            <w:vAlign w:val="bottom"/>
            <w:hideMark/>
          </w:tcPr>
          <w:p w:rsidR="009C4F70" w:rsidRPr="009C4F70" w:rsidRDefault="009C4F70" w:rsidP="009C4F70">
            <w:pPr>
              <w:spacing w:after="0" w:line="240" w:lineRule="auto"/>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Closing Balance</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28</w:t>
            </w:r>
          </w:p>
        </w:tc>
        <w:tc>
          <w:tcPr>
            <w:tcW w:w="130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29</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32</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34</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39</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44</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50</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57</w:t>
            </w:r>
          </w:p>
        </w:tc>
      </w:tr>
      <w:tr w:rsidR="009C4F70" w:rsidRPr="009C4F70" w:rsidTr="009C4F70">
        <w:trPr>
          <w:trHeight w:val="315"/>
        </w:trPr>
        <w:tc>
          <w:tcPr>
            <w:tcW w:w="504" w:type="dxa"/>
            <w:tcBorders>
              <w:top w:val="nil"/>
              <w:left w:val="single" w:sz="4" w:space="0" w:color="auto"/>
              <w:bottom w:val="single" w:sz="4" w:space="0" w:color="auto"/>
              <w:right w:val="single" w:sz="4" w:space="0" w:color="auto"/>
            </w:tcBorders>
            <w:shd w:val="clear" w:color="auto" w:fill="auto"/>
            <w:vAlign w:val="bottom"/>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4</w:t>
            </w:r>
          </w:p>
        </w:tc>
        <w:tc>
          <w:tcPr>
            <w:tcW w:w="1278" w:type="dxa"/>
            <w:tcBorders>
              <w:top w:val="nil"/>
              <w:left w:val="nil"/>
              <w:bottom w:val="single" w:sz="4" w:space="0" w:color="auto"/>
              <w:right w:val="single" w:sz="4" w:space="0" w:color="auto"/>
            </w:tcBorders>
            <w:shd w:val="clear" w:color="auto" w:fill="auto"/>
            <w:noWrap/>
            <w:vAlign w:val="bottom"/>
            <w:hideMark/>
          </w:tcPr>
          <w:p w:rsidR="009C4F70" w:rsidRPr="009C4F70" w:rsidRDefault="009C4F70" w:rsidP="009C4F70">
            <w:pPr>
              <w:spacing w:after="0" w:line="240" w:lineRule="auto"/>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Average</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14</w:t>
            </w:r>
          </w:p>
        </w:tc>
        <w:tc>
          <w:tcPr>
            <w:tcW w:w="130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29</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32</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34</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39</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44</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50</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57</w:t>
            </w:r>
          </w:p>
        </w:tc>
      </w:tr>
      <w:tr w:rsidR="009C4F70" w:rsidRPr="009C4F70" w:rsidTr="009C4F70">
        <w:trPr>
          <w:trHeight w:val="315"/>
        </w:trPr>
        <w:tc>
          <w:tcPr>
            <w:tcW w:w="504" w:type="dxa"/>
            <w:tcBorders>
              <w:top w:val="nil"/>
              <w:left w:val="single" w:sz="4" w:space="0" w:color="auto"/>
              <w:bottom w:val="single" w:sz="4" w:space="0" w:color="auto"/>
              <w:right w:val="single" w:sz="4" w:space="0" w:color="auto"/>
            </w:tcBorders>
            <w:shd w:val="clear" w:color="auto" w:fill="auto"/>
            <w:vAlign w:val="bottom"/>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5</w:t>
            </w:r>
          </w:p>
        </w:tc>
        <w:tc>
          <w:tcPr>
            <w:tcW w:w="1278" w:type="dxa"/>
            <w:tcBorders>
              <w:top w:val="nil"/>
              <w:left w:val="nil"/>
              <w:bottom w:val="single" w:sz="4" w:space="0" w:color="auto"/>
              <w:right w:val="single" w:sz="4" w:space="0" w:color="auto"/>
            </w:tcBorders>
            <w:shd w:val="clear" w:color="auto" w:fill="auto"/>
            <w:noWrap/>
            <w:vAlign w:val="bottom"/>
            <w:hideMark/>
          </w:tcPr>
          <w:p w:rsidR="009C4F70" w:rsidRPr="009C4F70" w:rsidRDefault="009C4F70" w:rsidP="009C4F70">
            <w:pPr>
              <w:spacing w:after="0" w:line="240" w:lineRule="auto"/>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Rate of carrying cost</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9.00%</w:t>
            </w:r>
          </w:p>
        </w:tc>
        <w:tc>
          <w:tcPr>
            <w:tcW w:w="130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9.00%</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9.00%</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13.68%</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13.75%</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13.11%</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13.38%</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14.88%</w:t>
            </w:r>
          </w:p>
        </w:tc>
      </w:tr>
      <w:tr w:rsidR="009C4F70" w:rsidRPr="009C4F70" w:rsidTr="009C4F70">
        <w:trPr>
          <w:trHeight w:val="315"/>
        </w:trPr>
        <w:tc>
          <w:tcPr>
            <w:tcW w:w="504" w:type="dxa"/>
            <w:tcBorders>
              <w:top w:val="nil"/>
              <w:left w:val="single" w:sz="4" w:space="0" w:color="auto"/>
              <w:bottom w:val="single" w:sz="4" w:space="0" w:color="auto"/>
              <w:right w:val="single" w:sz="4" w:space="0" w:color="auto"/>
            </w:tcBorders>
            <w:shd w:val="clear" w:color="auto" w:fill="auto"/>
            <w:vAlign w:val="bottom"/>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lastRenderedPageBreak/>
              <w:t>6</w:t>
            </w:r>
          </w:p>
        </w:tc>
        <w:tc>
          <w:tcPr>
            <w:tcW w:w="1278" w:type="dxa"/>
            <w:tcBorders>
              <w:top w:val="nil"/>
              <w:left w:val="nil"/>
              <w:bottom w:val="single" w:sz="4" w:space="0" w:color="auto"/>
              <w:right w:val="single" w:sz="4" w:space="0" w:color="auto"/>
            </w:tcBorders>
            <w:shd w:val="clear" w:color="auto" w:fill="auto"/>
            <w:noWrap/>
            <w:vAlign w:val="bottom"/>
            <w:hideMark/>
          </w:tcPr>
          <w:p w:rsidR="009C4F70" w:rsidRPr="009C4F70" w:rsidRDefault="009C4F70" w:rsidP="009C4F70">
            <w:pPr>
              <w:spacing w:after="0" w:line="240" w:lineRule="auto"/>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Carrying cost</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1</w:t>
            </w:r>
          </w:p>
        </w:tc>
        <w:tc>
          <w:tcPr>
            <w:tcW w:w="130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3</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3</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5</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5</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6</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7</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8</w:t>
            </w:r>
          </w:p>
        </w:tc>
      </w:tr>
      <w:tr w:rsidR="009C4F70" w:rsidRPr="009C4F70" w:rsidTr="009C4F70">
        <w:trPr>
          <w:trHeight w:val="315"/>
        </w:trPr>
        <w:tc>
          <w:tcPr>
            <w:tcW w:w="504" w:type="dxa"/>
            <w:tcBorders>
              <w:top w:val="nil"/>
              <w:left w:val="single" w:sz="4" w:space="0" w:color="auto"/>
              <w:bottom w:val="single" w:sz="4" w:space="0" w:color="auto"/>
              <w:right w:val="single" w:sz="4" w:space="0" w:color="auto"/>
            </w:tcBorders>
            <w:shd w:val="clear" w:color="auto" w:fill="auto"/>
            <w:vAlign w:val="bottom"/>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7</w:t>
            </w:r>
          </w:p>
        </w:tc>
        <w:tc>
          <w:tcPr>
            <w:tcW w:w="1278" w:type="dxa"/>
            <w:tcBorders>
              <w:top w:val="nil"/>
              <w:left w:val="nil"/>
              <w:bottom w:val="single" w:sz="4" w:space="0" w:color="auto"/>
              <w:right w:val="single" w:sz="4" w:space="0" w:color="auto"/>
            </w:tcBorders>
            <w:shd w:val="clear" w:color="auto" w:fill="auto"/>
            <w:noWrap/>
            <w:vAlign w:val="bottom"/>
            <w:hideMark/>
          </w:tcPr>
          <w:p w:rsidR="009C4F70" w:rsidRPr="009C4F70" w:rsidRDefault="009C4F70" w:rsidP="009C4F70">
            <w:pPr>
              <w:spacing w:after="0" w:line="240" w:lineRule="auto"/>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Grand Closing Balance</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b/>
                <w:bCs/>
                <w:color w:val="000000"/>
                <w:sz w:val="24"/>
                <w:szCs w:val="24"/>
                <w:lang w:eastAsia="en-IN"/>
              </w:rPr>
            </w:pPr>
            <w:r w:rsidRPr="009C4F70">
              <w:rPr>
                <w:rFonts w:ascii="Calibri" w:eastAsia="Times New Roman" w:hAnsi="Calibri" w:cs="Calibri"/>
                <w:b/>
                <w:bCs/>
                <w:color w:val="000000"/>
                <w:sz w:val="24"/>
                <w:szCs w:val="24"/>
                <w:lang w:eastAsia="en-IN"/>
              </w:rPr>
              <w:t>29</w:t>
            </w:r>
          </w:p>
        </w:tc>
        <w:tc>
          <w:tcPr>
            <w:tcW w:w="130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b/>
                <w:bCs/>
                <w:color w:val="000000"/>
                <w:sz w:val="24"/>
                <w:szCs w:val="24"/>
                <w:lang w:eastAsia="en-IN"/>
              </w:rPr>
            </w:pPr>
            <w:r w:rsidRPr="009C4F70">
              <w:rPr>
                <w:rFonts w:ascii="Calibri" w:eastAsia="Times New Roman" w:hAnsi="Calibri" w:cs="Calibri"/>
                <w:b/>
                <w:bCs/>
                <w:color w:val="000000"/>
                <w:sz w:val="24"/>
                <w:szCs w:val="24"/>
                <w:lang w:eastAsia="en-IN"/>
              </w:rPr>
              <w:t>32</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b/>
                <w:bCs/>
                <w:color w:val="000000"/>
                <w:sz w:val="24"/>
                <w:szCs w:val="24"/>
                <w:lang w:eastAsia="en-IN"/>
              </w:rPr>
            </w:pPr>
            <w:r w:rsidRPr="009C4F70">
              <w:rPr>
                <w:rFonts w:ascii="Calibri" w:eastAsia="Times New Roman" w:hAnsi="Calibri" w:cs="Calibri"/>
                <w:b/>
                <w:bCs/>
                <w:color w:val="000000"/>
                <w:sz w:val="24"/>
                <w:szCs w:val="24"/>
                <w:lang w:eastAsia="en-IN"/>
              </w:rPr>
              <w:t>34</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b/>
                <w:bCs/>
                <w:color w:val="000000"/>
                <w:sz w:val="24"/>
                <w:szCs w:val="24"/>
                <w:lang w:eastAsia="en-IN"/>
              </w:rPr>
            </w:pPr>
            <w:r w:rsidRPr="009C4F70">
              <w:rPr>
                <w:rFonts w:ascii="Calibri" w:eastAsia="Times New Roman" w:hAnsi="Calibri" w:cs="Calibri"/>
                <w:b/>
                <w:bCs/>
                <w:color w:val="000000"/>
                <w:sz w:val="24"/>
                <w:szCs w:val="24"/>
                <w:lang w:eastAsia="en-IN"/>
              </w:rPr>
              <w:t>39</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b/>
                <w:bCs/>
                <w:color w:val="000000"/>
                <w:sz w:val="24"/>
                <w:szCs w:val="24"/>
                <w:lang w:eastAsia="en-IN"/>
              </w:rPr>
            </w:pPr>
            <w:r w:rsidRPr="009C4F70">
              <w:rPr>
                <w:rFonts w:ascii="Calibri" w:eastAsia="Times New Roman" w:hAnsi="Calibri" w:cs="Calibri"/>
                <w:b/>
                <w:bCs/>
                <w:color w:val="000000"/>
                <w:sz w:val="24"/>
                <w:szCs w:val="24"/>
                <w:lang w:eastAsia="en-IN"/>
              </w:rPr>
              <w:t>44</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b/>
                <w:bCs/>
                <w:color w:val="000000"/>
                <w:sz w:val="24"/>
                <w:szCs w:val="24"/>
                <w:lang w:eastAsia="en-IN"/>
              </w:rPr>
            </w:pPr>
            <w:r w:rsidRPr="009C4F70">
              <w:rPr>
                <w:rFonts w:ascii="Calibri" w:eastAsia="Times New Roman" w:hAnsi="Calibri" w:cs="Calibri"/>
                <w:b/>
                <w:bCs/>
                <w:color w:val="000000"/>
                <w:sz w:val="24"/>
                <w:szCs w:val="24"/>
                <w:lang w:eastAsia="en-IN"/>
              </w:rPr>
              <w:t>50</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b/>
                <w:bCs/>
                <w:color w:val="000000"/>
                <w:sz w:val="24"/>
                <w:szCs w:val="24"/>
                <w:lang w:eastAsia="en-IN"/>
              </w:rPr>
            </w:pPr>
            <w:r w:rsidRPr="009C4F70">
              <w:rPr>
                <w:rFonts w:ascii="Calibri" w:eastAsia="Times New Roman" w:hAnsi="Calibri" w:cs="Calibri"/>
                <w:b/>
                <w:bCs/>
                <w:color w:val="000000"/>
                <w:sz w:val="24"/>
                <w:szCs w:val="24"/>
                <w:lang w:eastAsia="en-IN"/>
              </w:rPr>
              <w:t>57</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b/>
                <w:bCs/>
                <w:color w:val="000000"/>
                <w:sz w:val="24"/>
                <w:szCs w:val="24"/>
                <w:lang w:eastAsia="en-IN"/>
              </w:rPr>
            </w:pPr>
            <w:r w:rsidRPr="009C4F70">
              <w:rPr>
                <w:rFonts w:ascii="Calibri" w:eastAsia="Times New Roman" w:hAnsi="Calibri" w:cs="Calibri"/>
                <w:b/>
                <w:bCs/>
                <w:color w:val="000000"/>
                <w:sz w:val="24"/>
                <w:szCs w:val="24"/>
                <w:lang w:eastAsia="en-IN"/>
              </w:rPr>
              <w:t>65</w:t>
            </w:r>
          </w:p>
        </w:tc>
      </w:tr>
    </w:tbl>
    <w:p w:rsidR="009C4F70" w:rsidRDefault="009C4F70" w:rsidP="009C4F70">
      <w:pPr>
        <w:rPr>
          <w:lang w:val="en-US"/>
        </w:rPr>
      </w:pPr>
    </w:p>
    <w:tbl>
      <w:tblPr>
        <w:tblW w:w="11382" w:type="dxa"/>
        <w:tblInd w:w="-1139" w:type="dxa"/>
        <w:tblLook w:val="04A0" w:firstRow="1" w:lastRow="0" w:firstColumn="1" w:lastColumn="0" w:noHBand="0" w:noVBand="1"/>
      </w:tblPr>
      <w:tblGrid>
        <w:gridCol w:w="504"/>
        <w:gridCol w:w="1278"/>
        <w:gridCol w:w="960"/>
        <w:gridCol w:w="960"/>
        <w:gridCol w:w="960"/>
        <w:gridCol w:w="960"/>
        <w:gridCol w:w="960"/>
        <w:gridCol w:w="960"/>
        <w:gridCol w:w="960"/>
        <w:gridCol w:w="960"/>
        <w:gridCol w:w="960"/>
        <w:gridCol w:w="960"/>
      </w:tblGrid>
      <w:tr w:rsidR="009C4F70" w:rsidRPr="009C4F70" w:rsidTr="009C4F70">
        <w:trPr>
          <w:trHeight w:val="315"/>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4F70" w:rsidRPr="009C4F70" w:rsidRDefault="009C4F70" w:rsidP="009C4F70">
            <w:pPr>
              <w:spacing w:after="0" w:line="240" w:lineRule="auto"/>
              <w:jc w:val="center"/>
              <w:rPr>
                <w:rFonts w:ascii="Calibri" w:eastAsia="Times New Roman" w:hAnsi="Calibri" w:cs="Calibri"/>
                <w:b/>
                <w:bCs/>
                <w:color w:val="000000"/>
                <w:sz w:val="24"/>
                <w:szCs w:val="24"/>
                <w:lang w:eastAsia="en-IN"/>
              </w:rPr>
            </w:pPr>
            <w:r w:rsidRPr="009C4F70">
              <w:rPr>
                <w:rFonts w:ascii="Calibri" w:eastAsia="Times New Roman" w:hAnsi="Calibri" w:cs="Calibri"/>
                <w:b/>
                <w:bCs/>
                <w:color w:val="000000"/>
                <w:sz w:val="24"/>
                <w:szCs w:val="24"/>
                <w:lang w:eastAsia="en-IN"/>
              </w:rPr>
              <w:t>S. No</w:t>
            </w:r>
          </w:p>
        </w:tc>
        <w:tc>
          <w:tcPr>
            <w:tcW w:w="1278" w:type="dxa"/>
            <w:tcBorders>
              <w:top w:val="single" w:sz="4" w:space="0" w:color="auto"/>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b/>
                <w:bCs/>
                <w:color w:val="000000"/>
                <w:sz w:val="24"/>
                <w:szCs w:val="24"/>
                <w:lang w:eastAsia="en-IN"/>
              </w:rPr>
            </w:pPr>
            <w:r w:rsidRPr="009C4F70">
              <w:rPr>
                <w:rFonts w:ascii="Calibri" w:eastAsia="Times New Roman" w:hAnsi="Calibri" w:cs="Calibri"/>
                <w:b/>
                <w:bCs/>
                <w:color w:val="000000"/>
                <w:sz w:val="24"/>
                <w:szCs w:val="24"/>
                <w:lang w:eastAsia="en-IN"/>
              </w:rPr>
              <w:t>Particulars</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b/>
                <w:bCs/>
                <w:color w:val="000000"/>
                <w:sz w:val="24"/>
                <w:szCs w:val="24"/>
                <w:lang w:eastAsia="en-IN"/>
              </w:rPr>
            </w:pPr>
            <w:r w:rsidRPr="009C4F70">
              <w:rPr>
                <w:rFonts w:ascii="Calibri" w:eastAsia="Times New Roman" w:hAnsi="Calibri" w:cs="Calibri"/>
                <w:b/>
                <w:bCs/>
                <w:color w:val="000000"/>
                <w:sz w:val="24"/>
                <w:szCs w:val="24"/>
                <w:lang w:eastAsia="en-IN"/>
              </w:rPr>
              <w:t>FY 13</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b/>
                <w:bCs/>
                <w:color w:val="000000"/>
                <w:sz w:val="24"/>
                <w:szCs w:val="24"/>
                <w:lang w:eastAsia="en-IN"/>
              </w:rPr>
            </w:pPr>
            <w:r w:rsidRPr="009C4F70">
              <w:rPr>
                <w:rFonts w:ascii="Calibri" w:eastAsia="Times New Roman" w:hAnsi="Calibri" w:cs="Calibri"/>
                <w:b/>
                <w:bCs/>
                <w:color w:val="000000"/>
                <w:sz w:val="24"/>
                <w:szCs w:val="24"/>
                <w:lang w:eastAsia="en-IN"/>
              </w:rPr>
              <w:t>FY 14</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b/>
                <w:bCs/>
                <w:color w:val="000000"/>
                <w:sz w:val="24"/>
                <w:szCs w:val="24"/>
                <w:lang w:eastAsia="en-IN"/>
              </w:rPr>
            </w:pPr>
            <w:r w:rsidRPr="009C4F70">
              <w:rPr>
                <w:rFonts w:ascii="Calibri" w:eastAsia="Times New Roman" w:hAnsi="Calibri" w:cs="Calibri"/>
                <w:b/>
                <w:bCs/>
                <w:color w:val="000000"/>
                <w:sz w:val="24"/>
                <w:szCs w:val="24"/>
                <w:lang w:eastAsia="en-IN"/>
              </w:rPr>
              <w:t>FY 15</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b/>
                <w:bCs/>
                <w:color w:val="000000"/>
                <w:sz w:val="24"/>
                <w:szCs w:val="24"/>
                <w:lang w:eastAsia="en-IN"/>
              </w:rPr>
            </w:pPr>
            <w:r w:rsidRPr="009C4F70">
              <w:rPr>
                <w:rFonts w:ascii="Calibri" w:eastAsia="Times New Roman" w:hAnsi="Calibri" w:cs="Calibri"/>
                <w:b/>
                <w:bCs/>
                <w:color w:val="000000"/>
                <w:sz w:val="24"/>
                <w:szCs w:val="24"/>
                <w:lang w:eastAsia="en-IN"/>
              </w:rPr>
              <w:t>FY 16</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b/>
                <w:bCs/>
                <w:color w:val="000000"/>
                <w:sz w:val="24"/>
                <w:szCs w:val="24"/>
                <w:lang w:eastAsia="en-IN"/>
              </w:rPr>
            </w:pPr>
            <w:r w:rsidRPr="009C4F70">
              <w:rPr>
                <w:rFonts w:ascii="Calibri" w:eastAsia="Times New Roman" w:hAnsi="Calibri" w:cs="Calibri"/>
                <w:b/>
                <w:bCs/>
                <w:color w:val="000000"/>
                <w:sz w:val="24"/>
                <w:szCs w:val="24"/>
                <w:lang w:eastAsia="en-IN"/>
              </w:rPr>
              <w:t>FY 17</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b/>
                <w:bCs/>
                <w:color w:val="000000"/>
                <w:sz w:val="24"/>
                <w:szCs w:val="24"/>
                <w:lang w:eastAsia="en-IN"/>
              </w:rPr>
            </w:pPr>
            <w:r w:rsidRPr="009C4F70">
              <w:rPr>
                <w:rFonts w:ascii="Calibri" w:eastAsia="Times New Roman" w:hAnsi="Calibri" w:cs="Calibri"/>
                <w:b/>
                <w:bCs/>
                <w:color w:val="000000"/>
                <w:sz w:val="24"/>
                <w:szCs w:val="24"/>
                <w:lang w:eastAsia="en-IN"/>
              </w:rPr>
              <w:t>FY 18</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b/>
                <w:bCs/>
                <w:color w:val="000000"/>
                <w:sz w:val="24"/>
                <w:szCs w:val="24"/>
                <w:lang w:eastAsia="en-IN"/>
              </w:rPr>
            </w:pPr>
            <w:r w:rsidRPr="009C4F70">
              <w:rPr>
                <w:rFonts w:ascii="Calibri" w:eastAsia="Times New Roman" w:hAnsi="Calibri" w:cs="Calibri"/>
                <w:b/>
                <w:bCs/>
                <w:color w:val="000000"/>
                <w:sz w:val="24"/>
                <w:szCs w:val="24"/>
                <w:lang w:eastAsia="en-IN"/>
              </w:rPr>
              <w:t>FY 19</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b/>
                <w:bCs/>
                <w:color w:val="000000"/>
                <w:sz w:val="24"/>
                <w:szCs w:val="24"/>
                <w:lang w:eastAsia="en-IN"/>
              </w:rPr>
            </w:pPr>
            <w:r w:rsidRPr="009C4F70">
              <w:rPr>
                <w:rFonts w:ascii="Calibri" w:eastAsia="Times New Roman" w:hAnsi="Calibri" w:cs="Calibri"/>
                <w:b/>
                <w:bCs/>
                <w:color w:val="000000"/>
                <w:sz w:val="24"/>
                <w:szCs w:val="24"/>
                <w:lang w:eastAsia="en-IN"/>
              </w:rPr>
              <w:t>FY 20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b/>
                <w:bCs/>
                <w:color w:val="000000"/>
                <w:sz w:val="24"/>
                <w:szCs w:val="24"/>
                <w:lang w:eastAsia="en-IN"/>
              </w:rPr>
            </w:pPr>
            <w:r w:rsidRPr="009C4F70">
              <w:rPr>
                <w:rFonts w:ascii="Calibri" w:eastAsia="Times New Roman" w:hAnsi="Calibri" w:cs="Calibri"/>
                <w:b/>
                <w:bCs/>
                <w:color w:val="000000"/>
                <w:sz w:val="24"/>
                <w:szCs w:val="24"/>
                <w:lang w:eastAsia="en-IN"/>
              </w:rPr>
              <w:t>FY 21</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b/>
                <w:bCs/>
                <w:color w:val="000000"/>
                <w:sz w:val="24"/>
                <w:szCs w:val="24"/>
                <w:lang w:eastAsia="en-IN"/>
              </w:rPr>
            </w:pPr>
            <w:r w:rsidRPr="009C4F70">
              <w:rPr>
                <w:rFonts w:ascii="Calibri" w:eastAsia="Times New Roman" w:hAnsi="Calibri" w:cs="Calibri"/>
                <w:b/>
                <w:bCs/>
                <w:color w:val="000000"/>
                <w:sz w:val="24"/>
                <w:szCs w:val="24"/>
                <w:lang w:eastAsia="en-IN"/>
              </w:rPr>
              <w:t>FY 22</w:t>
            </w:r>
          </w:p>
        </w:tc>
      </w:tr>
      <w:tr w:rsidR="009C4F70" w:rsidRPr="009C4F70" w:rsidTr="009C4F70">
        <w:trPr>
          <w:trHeight w:val="315"/>
        </w:trPr>
        <w:tc>
          <w:tcPr>
            <w:tcW w:w="504" w:type="dxa"/>
            <w:tcBorders>
              <w:top w:val="nil"/>
              <w:left w:val="single" w:sz="4" w:space="0" w:color="auto"/>
              <w:bottom w:val="single" w:sz="4" w:space="0" w:color="auto"/>
              <w:right w:val="single" w:sz="4" w:space="0" w:color="auto"/>
            </w:tcBorders>
            <w:shd w:val="clear" w:color="auto" w:fill="auto"/>
            <w:vAlign w:val="bottom"/>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1</w:t>
            </w:r>
          </w:p>
        </w:tc>
        <w:tc>
          <w:tcPr>
            <w:tcW w:w="1278" w:type="dxa"/>
            <w:tcBorders>
              <w:top w:val="nil"/>
              <w:left w:val="nil"/>
              <w:bottom w:val="single" w:sz="4" w:space="0" w:color="auto"/>
              <w:right w:val="single" w:sz="4" w:space="0" w:color="auto"/>
            </w:tcBorders>
            <w:shd w:val="clear" w:color="auto" w:fill="auto"/>
            <w:noWrap/>
            <w:vAlign w:val="bottom"/>
            <w:hideMark/>
          </w:tcPr>
          <w:p w:rsidR="009C4F70" w:rsidRPr="009C4F70" w:rsidRDefault="009C4F70" w:rsidP="009C4F70">
            <w:pPr>
              <w:spacing w:after="0" w:line="240" w:lineRule="auto"/>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Opening balance</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65</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75</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87</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100</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114</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131</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149</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170</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194</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219</w:t>
            </w:r>
          </w:p>
        </w:tc>
      </w:tr>
      <w:tr w:rsidR="009C4F70" w:rsidRPr="009C4F70" w:rsidTr="009C4F70">
        <w:trPr>
          <w:trHeight w:val="315"/>
        </w:trPr>
        <w:tc>
          <w:tcPr>
            <w:tcW w:w="504" w:type="dxa"/>
            <w:tcBorders>
              <w:top w:val="nil"/>
              <w:left w:val="single" w:sz="4" w:space="0" w:color="auto"/>
              <w:bottom w:val="single" w:sz="4" w:space="0" w:color="auto"/>
              <w:right w:val="single" w:sz="4" w:space="0" w:color="auto"/>
            </w:tcBorders>
            <w:shd w:val="clear" w:color="auto" w:fill="auto"/>
            <w:vAlign w:val="bottom"/>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2</w:t>
            </w:r>
          </w:p>
        </w:tc>
        <w:tc>
          <w:tcPr>
            <w:tcW w:w="1278" w:type="dxa"/>
            <w:tcBorders>
              <w:top w:val="nil"/>
              <w:left w:val="nil"/>
              <w:bottom w:val="single" w:sz="4" w:space="0" w:color="auto"/>
              <w:right w:val="single" w:sz="4" w:space="0" w:color="auto"/>
            </w:tcBorders>
            <w:shd w:val="clear" w:color="auto" w:fill="auto"/>
            <w:noWrap/>
            <w:vAlign w:val="bottom"/>
            <w:hideMark/>
          </w:tcPr>
          <w:p w:rsidR="009C4F70" w:rsidRPr="009C4F70" w:rsidRDefault="009C4F70" w:rsidP="009C4F70">
            <w:pPr>
              <w:spacing w:after="0" w:line="240" w:lineRule="auto"/>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Additions</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p>
        </w:tc>
      </w:tr>
      <w:tr w:rsidR="009C4F70" w:rsidRPr="009C4F70" w:rsidTr="009C4F70">
        <w:trPr>
          <w:trHeight w:val="315"/>
        </w:trPr>
        <w:tc>
          <w:tcPr>
            <w:tcW w:w="504" w:type="dxa"/>
            <w:tcBorders>
              <w:top w:val="nil"/>
              <w:left w:val="single" w:sz="4" w:space="0" w:color="auto"/>
              <w:bottom w:val="single" w:sz="4" w:space="0" w:color="auto"/>
              <w:right w:val="single" w:sz="4" w:space="0" w:color="auto"/>
            </w:tcBorders>
            <w:shd w:val="clear" w:color="auto" w:fill="auto"/>
            <w:vAlign w:val="bottom"/>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3</w:t>
            </w:r>
          </w:p>
        </w:tc>
        <w:tc>
          <w:tcPr>
            <w:tcW w:w="1278" w:type="dxa"/>
            <w:tcBorders>
              <w:top w:val="nil"/>
              <w:left w:val="nil"/>
              <w:bottom w:val="single" w:sz="4" w:space="0" w:color="auto"/>
              <w:right w:val="single" w:sz="4" w:space="0" w:color="auto"/>
            </w:tcBorders>
            <w:shd w:val="clear" w:color="auto" w:fill="auto"/>
            <w:noWrap/>
            <w:vAlign w:val="bottom"/>
            <w:hideMark/>
          </w:tcPr>
          <w:p w:rsidR="009C4F70" w:rsidRPr="009C4F70" w:rsidRDefault="009C4F70" w:rsidP="009C4F70">
            <w:pPr>
              <w:spacing w:after="0" w:line="240" w:lineRule="auto"/>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Closing Balance</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65</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75</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87</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100</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114</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131</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149</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170</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194</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219</w:t>
            </w:r>
          </w:p>
        </w:tc>
      </w:tr>
      <w:tr w:rsidR="009C4F70" w:rsidRPr="009C4F70" w:rsidTr="009C4F70">
        <w:trPr>
          <w:trHeight w:val="315"/>
        </w:trPr>
        <w:tc>
          <w:tcPr>
            <w:tcW w:w="504" w:type="dxa"/>
            <w:tcBorders>
              <w:top w:val="nil"/>
              <w:left w:val="single" w:sz="4" w:space="0" w:color="auto"/>
              <w:bottom w:val="single" w:sz="4" w:space="0" w:color="auto"/>
              <w:right w:val="single" w:sz="4" w:space="0" w:color="auto"/>
            </w:tcBorders>
            <w:shd w:val="clear" w:color="auto" w:fill="auto"/>
            <w:vAlign w:val="bottom"/>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4</w:t>
            </w:r>
          </w:p>
        </w:tc>
        <w:tc>
          <w:tcPr>
            <w:tcW w:w="1278" w:type="dxa"/>
            <w:tcBorders>
              <w:top w:val="nil"/>
              <w:left w:val="nil"/>
              <w:bottom w:val="single" w:sz="4" w:space="0" w:color="auto"/>
              <w:right w:val="single" w:sz="4" w:space="0" w:color="auto"/>
            </w:tcBorders>
            <w:shd w:val="clear" w:color="auto" w:fill="auto"/>
            <w:noWrap/>
            <w:vAlign w:val="bottom"/>
            <w:hideMark/>
          </w:tcPr>
          <w:p w:rsidR="009C4F70" w:rsidRPr="009C4F70" w:rsidRDefault="009C4F70" w:rsidP="009C4F70">
            <w:pPr>
              <w:spacing w:after="0" w:line="240" w:lineRule="auto"/>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Average</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65</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75</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87</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100</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114</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131</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149</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170</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194</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219</w:t>
            </w:r>
          </w:p>
        </w:tc>
      </w:tr>
      <w:tr w:rsidR="009C4F70" w:rsidRPr="009C4F70" w:rsidTr="009C4F70">
        <w:trPr>
          <w:trHeight w:val="315"/>
        </w:trPr>
        <w:tc>
          <w:tcPr>
            <w:tcW w:w="504" w:type="dxa"/>
            <w:tcBorders>
              <w:top w:val="nil"/>
              <w:left w:val="single" w:sz="4" w:space="0" w:color="auto"/>
              <w:bottom w:val="single" w:sz="4" w:space="0" w:color="auto"/>
              <w:right w:val="single" w:sz="4" w:space="0" w:color="auto"/>
            </w:tcBorders>
            <w:shd w:val="clear" w:color="auto" w:fill="auto"/>
            <w:vAlign w:val="bottom"/>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5</w:t>
            </w:r>
          </w:p>
        </w:tc>
        <w:tc>
          <w:tcPr>
            <w:tcW w:w="1278" w:type="dxa"/>
            <w:tcBorders>
              <w:top w:val="nil"/>
              <w:left w:val="nil"/>
              <w:bottom w:val="single" w:sz="4" w:space="0" w:color="auto"/>
              <w:right w:val="single" w:sz="4" w:space="0" w:color="auto"/>
            </w:tcBorders>
            <w:shd w:val="clear" w:color="auto" w:fill="auto"/>
            <w:noWrap/>
            <w:vAlign w:val="bottom"/>
            <w:hideMark/>
          </w:tcPr>
          <w:p w:rsidR="009C4F70" w:rsidRPr="009C4F70" w:rsidRDefault="009C4F70" w:rsidP="009C4F70">
            <w:pPr>
              <w:spacing w:after="0" w:line="240" w:lineRule="auto"/>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Rate of carrying cost</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15.03%</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15.01%</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15.13%</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14.80%</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14.64%</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14%</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14.00%</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14.00%</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12.74%</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12.08%</w:t>
            </w:r>
          </w:p>
        </w:tc>
      </w:tr>
      <w:tr w:rsidR="009C4F70" w:rsidRPr="009C4F70" w:rsidTr="009C4F70">
        <w:trPr>
          <w:trHeight w:val="315"/>
        </w:trPr>
        <w:tc>
          <w:tcPr>
            <w:tcW w:w="504" w:type="dxa"/>
            <w:tcBorders>
              <w:top w:val="nil"/>
              <w:left w:val="single" w:sz="4" w:space="0" w:color="auto"/>
              <w:bottom w:val="single" w:sz="4" w:space="0" w:color="auto"/>
              <w:right w:val="single" w:sz="4" w:space="0" w:color="auto"/>
            </w:tcBorders>
            <w:shd w:val="clear" w:color="auto" w:fill="auto"/>
            <w:vAlign w:val="bottom"/>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6</w:t>
            </w:r>
          </w:p>
        </w:tc>
        <w:tc>
          <w:tcPr>
            <w:tcW w:w="1278" w:type="dxa"/>
            <w:tcBorders>
              <w:top w:val="nil"/>
              <w:left w:val="nil"/>
              <w:bottom w:val="single" w:sz="4" w:space="0" w:color="auto"/>
              <w:right w:val="single" w:sz="4" w:space="0" w:color="auto"/>
            </w:tcBorders>
            <w:shd w:val="clear" w:color="auto" w:fill="auto"/>
            <w:noWrap/>
            <w:vAlign w:val="bottom"/>
            <w:hideMark/>
          </w:tcPr>
          <w:p w:rsidR="009C4F70" w:rsidRPr="009C4F70" w:rsidRDefault="009C4F70" w:rsidP="009C4F70">
            <w:pPr>
              <w:spacing w:after="0" w:line="240" w:lineRule="auto"/>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Carrying cost</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10</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11</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13</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15</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17</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18</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21</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24</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25</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26</w:t>
            </w:r>
          </w:p>
        </w:tc>
      </w:tr>
      <w:tr w:rsidR="009C4F70" w:rsidRPr="009C4F70" w:rsidTr="009C4F70">
        <w:trPr>
          <w:trHeight w:val="315"/>
        </w:trPr>
        <w:tc>
          <w:tcPr>
            <w:tcW w:w="504" w:type="dxa"/>
            <w:tcBorders>
              <w:top w:val="nil"/>
              <w:left w:val="single" w:sz="4" w:space="0" w:color="auto"/>
              <w:bottom w:val="single" w:sz="4" w:space="0" w:color="auto"/>
              <w:right w:val="single" w:sz="4" w:space="0" w:color="auto"/>
            </w:tcBorders>
            <w:shd w:val="clear" w:color="auto" w:fill="auto"/>
            <w:vAlign w:val="bottom"/>
            <w:hideMark/>
          </w:tcPr>
          <w:p w:rsidR="009C4F70" w:rsidRPr="009C4F70" w:rsidRDefault="009C4F70" w:rsidP="009C4F70">
            <w:pPr>
              <w:spacing w:after="0" w:line="240" w:lineRule="auto"/>
              <w:jc w:val="center"/>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7</w:t>
            </w:r>
          </w:p>
        </w:tc>
        <w:tc>
          <w:tcPr>
            <w:tcW w:w="1278" w:type="dxa"/>
            <w:tcBorders>
              <w:top w:val="nil"/>
              <w:left w:val="nil"/>
              <w:bottom w:val="single" w:sz="4" w:space="0" w:color="auto"/>
              <w:right w:val="single" w:sz="4" w:space="0" w:color="auto"/>
            </w:tcBorders>
            <w:shd w:val="clear" w:color="auto" w:fill="auto"/>
            <w:noWrap/>
            <w:vAlign w:val="bottom"/>
            <w:hideMark/>
          </w:tcPr>
          <w:p w:rsidR="009C4F70" w:rsidRPr="009C4F70" w:rsidRDefault="009C4F70" w:rsidP="009C4F70">
            <w:pPr>
              <w:spacing w:after="0" w:line="240" w:lineRule="auto"/>
              <w:rPr>
                <w:rFonts w:ascii="Calibri" w:eastAsia="Times New Roman" w:hAnsi="Calibri" w:cs="Calibri"/>
                <w:color w:val="000000"/>
                <w:sz w:val="24"/>
                <w:szCs w:val="24"/>
                <w:lang w:eastAsia="en-IN"/>
              </w:rPr>
            </w:pPr>
            <w:r w:rsidRPr="009C4F70">
              <w:rPr>
                <w:rFonts w:ascii="Calibri" w:eastAsia="Times New Roman" w:hAnsi="Calibri" w:cs="Calibri"/>
                <w:color w:val="000000"/>
                <w:sz w:val="24"/>
                <w:szCs w:val="24"/>
                <w:lang w:eastAsia="en-IN"/>
              </w:rPr>
              <w:t>Grand Closing Balance</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b/>
                <w:bCs/>
                <w:color w:val="000000"/>
                <w:sz w:val="24"/>
                <w:szCs w:val="24"/>
                <w:lang w:eastAsia="en-IN"/>
              </w:rPr>
            </w:pPr>
            <w:r w:rsidRPr="009C4F70">
              <w:rPr>
                <w:rFonts w:ascii="Calibri" w:eastAsia="Times New Roman" w:hAnsi="Calibri" w:cs="Calibri"/>
                <w:b/>
                <w:bCs/>
                <w:color w:val="000000"/>
                <w:sz w:val="24"/>
                <w:szCs w:val="24"/>
                <w:lang w:eastAsia="en-IN"/>
              </w:rPr>
              <w:t>75</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b/>
                <w:bCs/>
                <w:color w:val="000000"/>
                <w:sz w:val="24"/>
                <w:szCs w:val="24"/>
                <w:lang w:eastAsia="en-IN"/>
              </w:rPr>
            </w:pPr>
            <w:r w:rsidRPr="009C4F70">
              <w:rPr>
                <w:rFonts w:ascii="Calibri" w:eastAsia="Times New Roman" w:hAnsi="Calibri" w:cs="Calibri"/>
                <w:b/>
                <w:bCs/>
                <w:color w:val="000000"/>
                <w:sz w:val="24"/>
                <w:szCs w:val="24"/>
                <w:lang w:eastAsia="en-IN"/>
              </w:rPr>
              <w:t>87</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b/>
                <w:bCs/>
                <w:color w:val="000000"/>
                <w:sz w:val="24"/>
                <w:szCs w:val="24"/>
                <w:lang w:eastAsia="en-IN"/>
              </w:rPr>
            </w:pPr>
            <w:r w:rsidRPr="009C4F70">
              <w:rPr>
                <w:rFonts w:ascii="Calibri" w:eastAsia="Times New Roman" w:hAnsi="Calibri" w:cs="Calibri"/>
                <w:b/>
                <w:bCs/>
                <w:color w:val="000000"/>
                <w:sz w:val="24"/>
                <w:szCs w:val="24"/>
                <w:lang w:eastAsia="en-IN"/>
              </w:rPr>
              <w:t>100</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b/>
                <w:bCs/>
                <w:color w:val="000000"/>
                <w:sz w:val="24"/>
                <w:szCs w:val="24"/>
                <w:lang w:eastAsia="en-IN"/>
              </w:rPr>
            </w:pPr>
            <w:r w:rsidRPr="009C4F70">
              <w:rPr>
                <w:rFonts w:ascii="Calibri" w:eastAsia="Times New Roman" w:hAnsi="Calibri" w:cs="Calibri"/>
                <w:b/>
                <w:bCs/>
                <w:color w:val="000000"/>
                <w:sz w:val="24"/>
                <w:szCs w:val="24"/>
                <w:lang w:eastAsia="en-IN"/>
              </w:rPr>
              <w:t>114</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b/>
                <w:bCs/>
                <w:color w:val="000000"/>
                <w:sz w:val="24"/>
                <w:szCs w:val="24"/>
                <w:lang w:eastAsia="en-IN"/>
              </w:rPr>
            </w:pPr>
            <w:r w:rsidRPr="009C4F70">
              <w:rPr>
                <w:rFonts w:ascii="Calibri" w:eastAsia="Times New Roman" w:hAnsi="Calibri" w:cs="Calibri"/>
                <w:b/>
                <w:bCs/>
                <w:color w:val="000000"/>
                <w:sz w:val="24"/>
                <w:szCs w:val="24"/>
                <w:lang w:eastAsia="en-IN"/>
              </w:rPr>
              <w:t>131</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b/>
                <w:bCs/>
                <w:color w:val="000000"/>
                <w:sz w:val="24"/>
                <w:szCs w:val="24"/>
                <w:lang w:eastAsia="en-IN"/>
              </w:rPr>
            </w:pPr>
            <w:r w:rsidRPr="009C4F70">
              <w:rPr>
                <w:rFonts w:ascii="Calibri" w:eastAsia="Times New Roman" w:hAnsi="Calibri" w:cs="Calibri"/>
                <w:b/>
                <w:bCs/>
                <w:color w:val="000000"/>
                <w:sz w:val="24"/>
                <w:szCs w:val="24"/>
                <w:lang w:eastAsia="en-IN"/>
              </w:rPr>
              <w:t>149</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b/>
                <w:bCs/>
                <w:color w:val="000000"/>
                <w:sz w:val="24"/>
                <w:szCs w:val="24"/>
                <w:lang w:eastAsia="en-IN"/>
              </w:rPr>
            </w:pPr>
            <w:r w:rsidRPr="009C4F70">
              <w:rPr>
                <w:rFonts w:ascii="Calibri" w:eastAsia="Times New Roman" w:hAnsi="Calibri" w:cs="Calibri"/>
                <w:b/>
                <w:bCs/>
                <w:color w:val="000000"/>
                <w:sz w:val="24"/>
                <w:szCs w:val="24"/>
                <w:lang w:eastAsia="en-IN"/>
              </w:rPr>
              <w:t>170</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b/>
                <w:bCs/>
                <w:color w:val="000000"/>
                <w:sz w:val="24"/>
                <w:szCs w:val="24"/>
                <w:lang w:eastAsia="en-IN"/>
              </w:rPr>
            </w:pPr>
            <w:r w:rsidRPr="009C4F70">
              <w:rPr>
                <w:rFonts w:ascii="Calibri" w:eastAsia="Times New Roman" w:hAnsi="Calibri" w:cs="Calibri"/>
                <w:b/>
                <w:bCs/>
                <w:color w:val="000000"/>
                <w:sz w:val="24"/>
                <w:szCs w:val="24"/>
                <w:lang w:eastAsia="en-IN"/>
              </w:rPr>
              <w:t>194</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b/>
                <w:bCs/>
                <w:color w:val="000000"/>
                <w:sz w:val="24"/>
                <w:szCs w:val="24"/>
                <w:lang w:eastAsia="en-IN"/>
              </w:rPr>
            </w:pPr>
            <w:r w:rsidRPr="009C4F70">
              <w:rPr>
                <w:rFonts w:ascii="Calibri" w:eastAsia="Times New Roman" w:hAnsi="Calibri" w:cs="Calibri"/>
                <w:b/>
                <w:bCs/>
                <w:color w:val="000000"/>
                <w:sz w:val="24"/>
                <w:szCs w:val="24"/>
                <w:lang w:eastAsia="en-IN"/>
              </w:rPr>
              <w:t>219</w:t>
            </w:r>
          </w:p>
        </w:tc>
        <w:tc>
          <w:tcPr>
            <w:tcW w:w="960" w:type="dxa"/>
            <w:tcBorders>
              <w:top w:val="nil"/>
              <w:left w:val="nil"/>
              <w:bottom w:val="single" w:sz="4" w:space="0" w:color="auto"/>
              <w:right w:val="single" w:sz="4" w:space="0" w:color="auto"/>
            </w:tcBorders>
            <w:shd w:val="clear" w:color="auto" w:fill="auto"/>
            <w:noWrap/>
            <w:vAlign w:val="center"/>
            <w:hideMark/>
          </w:tcPr>
          <w:p w:rsidR="009C4F70" w:rsidRPr="009C4F70" w:rsidRDefault="009C4F70" w:rsidP="009C4F70">
            <w:pPr>
              <w:spacing w:after="0" w:line="240" w:lineRule="auto"/>
              <w:jc w:val="center"/>
              <w:rPr>
                <w:rFonts w:ascii="Calibri" w:eastAsia="Times New Roman" w:hAnsi="Calibri" w:cs="Calibri"/>
                <w:b/>
                <w:bCs/>
                <w:color w:val="000000"/>
                <w:sz w:val="24"/>
                <w:szCs w:val="24"/>
                <w:lang w:eastAsia="en-IN"/>
              </w:rPr>
            </w:pPr>
            <w:r w:rsidRPr="009C4F70">
              <w:rPr>
                <w:rFonts w:ascii="Calibri" w:eastAsia="Times New Roman" w:hAnsi="Calibri" w:cs="Calibri"/>
                <w:b/>
                <w:bCs/>
                <w:color w:val="000000"/>
                <w:sz w:val="24"/>
                <w:szCs w:val="24"/>
                <w:lang w:eastAsia="en-IN"/>
              </w:rPr>
              <w:t>245</w:t>
            </w:r>
          </w:p>
        </w:tc>
      </w:tr>
    </w:tbl>
    <w:p w:rsidR="009C4F70" w:rsidRPr="009C4F70" w:rsidRDefault="009C4F70" w:rsidP="009C4F70">
      <w:pPr>
        <w:rPr>
          <w:lang w:val="en-US"/>
        </w:rPr>
      </w:pPr>
    </w:p>
    <w:p w:rsidR="007B576B" w:rsidRDefault="007B576B" w:rsidP="007D37C9">
      <w:pPr>
        <w:pStyle w:val="ARRB11"/>
        <w:numPr>
          <w:ilvl w:val="1"/>
          <w:numId w:val="2"/>
        </w:numPr>
        <w:tabs>
          <w:tab w:val="clear" w:pos="1440"/>
        </w:tabs>
        <w:ind w:left="993" w:hanging="993"/>
        <w:rPr>
          <w:szCs w:val="24"/>
          <w:lang w:val="en-IN"/>
        </w:rPr>
      </w:pPr>
      <w:r w:rsidRPr="00AE0294">
        <w:rPr>
          <w:szCs w:val="24"/>
        </w:rPr>
        <w:t>The consolidated impact of all issues in Category 2 “</w:t>
      </w:r>
      <w:r w:rsidRPr="00AE0294">
        <w:rPr>
          <w:szCs w:val="24"/>
          <w:lang w:val="en-IN"/>
        </w:rPr>
        <w:t>Impact of issues pending before Hon’ble Commission for implementation”</w:t>
      </w:r>
      <w:r w:rsidRPr="00AE0294">
        <w:rPr>
          <w:szCs w:val="24"/>
        </w:rPr>
        <w:t xml:space="preserve"> alongwith carrying cost is tabulated below</w:t>
      </w:r>
      <w:r w:rsidRPr="00AE0294">
        <w:rPr>
          <w:szCs w:val="24"/>
          <w:lang w:val="en-IN"/>
        </w:rPr>
        <w:t>:</w:t>
      </w:r>
    </w:p>
    <w:p w:rsidR="00B01EAF" w:rsidRDefault="00B01EAF">
      <w:pPr>
        <w:rPr>
          <w:rFonts w:eastAsia="Times New Roman" w:cstheme="minorHAnsi"/>
          <w:sz w:val="24"/>
          <w:szCs w:val="24"/>
        </w:rPr>
      </w:pPr>
      <w:r>
        <w:rPr>
          <w:szCs w:val="24"/>
        </w:rPr>
        <w:br w:type="page"/>
      </w:r>
    </w:p>
    <w:p w:rsidR="0095531F" w:rsidRPr="00AE0294" w:rsidRDefault="0095531F" w:rsidP="0095531F">
      <w:pPr>
        <w:pStyle w:val="Caption"/>
        <w:spacing w:after="0"/>
        <w:ind w:left="644"/>
        <w:jc w:val="center"/>
        <w:rPr>
          <w:rFonts w:cstheme="minorHAnsi"/>
          <w:b/>
          <w:i w:val="0"/>
          <w:color w:val="000000" w:themeColor="text1"/>
          <w:sz w:val="24"/>
          <w:szCs w:val="24"/>
          <w:lang w:bidi="te-IN"/>
        </w:rPr>
      </w:pPr>
      <w:bookmarkStart w:id="28" w:name="_Toc120734120"/>
      <w:r w:rsidRPr="00AE0294">
        <w:rPr>
          <w:rFonts w:cstheme="minorHAnsi"/>
          <w:b/>
          <w:i w:val="0"/>
          <w:color w:val="000000" w:themeColor="text1"/>
          <w:sz w:val="24"/>
          <w:szCs w:val="24"/>
        </w:rPr>
        <w:lastRenderedPageBreak/>
        <w:t xml:space="preserve">Table 3B </w:t>
      </w:r>
      <w:r w:rsidRPr="00AE0294">
        <w:rPr>
          <w:rFonts w:cstheme="minorHAnsi"/>
          <w:b/>
          <w:i w:val="0"/>
          <w:color w:val="000000" w:themeColor="text1"/>
          <w:sz w:val="24"/>
          <w:szCs w:val="24"/>
        </w:rPr>
        <w:fldChar w:fldCharType="begin"/>
      </w:r>
      <w:r w:rsidRPr="00AE0294">
        <w:rPr>
          <w:rFonts w:cstheme="minorHAnsi"/>
          <w:b/>
          <w:i w:val="0"/>
          <w:color w:val="000000" w:themeColor="text1"/>
          <w:sz w:val="24"/>
          <w:szCs w:val="24"/>
        </w:rPr>
        <w:instrText xml:space="preserve"> SEQ Table_3B \* ARABIC </w:instrText>
      </w:r>
      <w:r w:rsidRPr="00AE0294">
        <w:rPr>
          <w:rFonts w:cstheme="minorHAnsi"/>
          <w:b/>
          <w:i w:val="0"/>
          <w:color w:val="000000" w:themeColor="text1"/>
          <w:sz w:val="24"/>
          <w:szCs w:val="24"/>
        </w:rPr>
        <w:fldChar w:fldCharType="separate"/>
      </w:r>
      <w:r w:rsidR="006D2E03">
        <w:rPr>
          <w:rFonts w:cstheme="minorHAnsi"/>
          <w:b/>
          <w:i w:val="0"/>
          <w:noProof/>
          <w:color w:val="000000" w:themeColor="text1"/>
          <w:sz w:val="24"/>
          <w:szCs w:val="24"/>
        </w:rPr>
        <w:t>12</w:t>
      </w:r>
      <w:r w:rsidRPr="00AE0294">
        <w:rPr>
          <w:rFonts w:cstheme="minorHAnsi"/>
          <w:b/>
          <w:i w:val="0"/>
          <w:color w:val="000000" w:themeColor="text1"/>
          <w:sz w:val="24"/>
          <w:szCs w:val="24"/>
        </w:rPr>
        <w:fldChar w:fldCharType="end"/>
      </w:r>
      <w:r w:rsidRPr="00AE0294">
        <w:rPr>
          <w:rFonts w:cstheme="minorHAnsi"/>
          <w:b/>
          <w:i w:val="0"/>
          <w:color w:val="000000" w:themeColor="text1"/>
          <w:sz w:val="24"/>
          <w:szCs w:val="24"/>
        </w:rPr>
        <w:t xml:space="preserve">: </w:t>
      </w:r>
      <w:r w:rsidR="00C52FEE" w:rsidRPr="00AE0294">
        <w:rPr>
          <w:rFonts w:cstheme="minorHAnsi"/>
          <w:b/>
          <w:i w:val="0"/>
          <w:color w:val="000000" w:themeColor="text1"/>
          <w:sz w:val="24"/>
          <w:szCs w:val="24"/>
        </w:rPr>
        <w:t>Impact of issues pending before Hon’ble Commission for implementation</w:t>
      </w:r>
      <w:r w:rsidRPr="00AE0294">
        <w:rPr>
          <w:rFonts w:cstheme="minorHAnsi"/>
          <w:b/>
          <w:i w:val="0"/>
          <w:color w:val="000000" w:themeColor="text1"/>
          <w:sz w:val="24"/>
          <w:szCs w:val="24"/>
        </w:rPr>
        <w:t xml:space="preserve"> </w:t>
      </w:r>
      <w:r w:rsidRPr="00AE0294">
        <w:rPr>
          <w:rStyle w:val="Heading2Char"/>
          <w:rFonts w:asciiTheme="minorHAnsi" w:eastAsiaTheme="minorHAnsi" w:hAnsiTheme="minorHAnsi" w:cstheme="minorHAnsi"/>
          <w:i w:val="0"/>
          <w:color w:val="000000" w:themeColor="text1"/>
          <w:sz w:val="24"/>
          <w:szCs w:val="24"/>
        </w:rPr>
        <w:t xml:space="preserve"> (₹ Crore)</w:t>
      </w:r>
      <w:bookmarkEnd w:id="28"/>
    </w:p>
    <w:tbl>
      <w:tblPr>
        <w:tblW w:w="8200" w:type="dxa"/>
        <w:tblInd w:w="988" w:type="dxa"/>
        <w:tblLook w:val="04A0" w:firstRow="1" w:lastRow="0" w:firstColumn="1" w:lastColumn="0" w:noHBand="0" w:noVBand="1"/>
      </w:tblPr>
      <w:tblGrid>
        <w:gridCol w:w="567"/>
        <w:gridCol w:w="4110"/>
        <w:gridCol w:w="1083"/>
        <w:gridCol w:w="1480"/>
        <w:gridCol w:w="960"/>
      </w:tblGrid>
      <w:tr w:rsidR="002103AF" w:rsidRPr="00AE0294" w:rsidTr="002103AF">
        <w:trPr>
          <w:trHeight w:val="300"/>
          <w:tblHead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3AF" w:rsidRPr="00AE0294" w:rsidRDefault="002103AF" w:rsidP="002103AF">
            <w:pPr>
              <w:spacing w:after="0" w:line="240" w:lineRule="auto"/>
              <w:jc w:val="center"/>
              <w:rPr>
                <w:rFonts w:cstheme="minorHAnsi"/>
                <w:b/>
                <w:bCs/>
                <w:sz w:val="24"/>
                <w:szCs w:val="24"/>
                <w:lang w:eastAsia="en-IN"/>
              </w:rPr>
            </w:pPr>
            <w:r w:rsidRPr="00AE0294">
              <w:rPr>
                <w:rFonts w:cstheme="minorHAnsi"/>
                <w:b/>
                <w:bCs/>
                <w:sz w:val="24"/>
                <w:szCs w:val="24"/>
                <w:lang w:eastAsia="en-IN"/>
              </w:rPr>
              <w:t>S. No</w:t>
            </w:r>
          </w:p>
        </w:tc>
        <w:tc>
          <w:tcPr>
            <w:tcW w:w="4110" w:type="dxa"/>
            <w:tcBorders>
              <w:top w:val="single" w:sz="4" w:space="0" w:color="auto"/>
              <w:left w:val="nil"/>
              <w:bottom w:val="single" w:sz="4" w:space="0" w:color="auto"/>
              <w:right w:val="single" w:sz="4" w:space="0" w:color="auto"/>
            </w:tcBorders>
            <w:shd w:val="clear" w:color="auto" w:fill="auto"/>
            <w:noWrap/>
            <w:vAlign w:val="center"/>
            <w:hideMark/>
          </w:tcPr>
          <w:p w:rsidR="002103AF" w:rsidRPr="00AE0294" w:rsidRDefault="002103AF" w:rsidP="002103AF">
            <w:pPr>
              <w:spacing w:after="0" w:line="240" w:lineRule="auto"/>
              <w:jc w:val="center"/>
              <w:rPr>
                <w:rFonts w:cstheme="minorHAnsi"/>
                <w:b/>
                <w:bCs/>
                <w:sz w:val="24"/>
                <w:szCs w:val="24"/>
                <w:lang w:eastAsia="en-IN"/>
              </w:rPr>
            </w:pPr>
            <w:r w:rsidRPr="00AE0294">
              <w:rPr>
                <w:rFonts w:cstheme="minorHAnsi"/>
                <w:b/>
                <w:bCs/>
                <w:sz w:val="24"/>
                <w:szCs w:val="24"/>
                <w:lang w:eastAsia="en-IN"/>
              </w:rPr>
              <w:t>Particulars</w:t>
            </w:r>
          </w:p>
        </w:tc>
        <w:tc>
          <w:tcPr>
            <w:tcW w:w="1083" w:type="dxa"/>
            <w:tcBorders>
              <w:top w:val="single" w:sz="4" w:space="0" w:color="auto"/>
              <w:left w:val="nil"/>
              <w:bottom w:val="single" w:sz="4" w:space="0" w:color="auto"/>
              <w:right w:val="single" w:sz="4" w:space="0" w:color="auto"/>
            </w:tcBorders>
            <w:shd w:val="clear" w:color="auto" w:fill="auto"/>
            <w:noWrap/>
            <w:vAlign w:val="center"/>
            <w:hideMark/>
          </w:tcPr>
          <w:p w:rsidR="002103AF" w:rsidRPr="00AE0294" w:rsidRDefault="002103AF" w:rsidP="002103AF">
            <w:pPr>
              <w:spacing w:after="0" w:line="240" w:lineRule="auto"/>
              <w:jc w:val="center"/>
              <w:rPr>
                <w:rFonts w:cstheme="minorHAnsi"/>
                <w:b/>
                <w:bCs/>
                <w:sz w:val="24"/>
                <w:szCs w:val="24"/>
                <w:lang w:eastAsia="en-IN"/>
              </w:rPr>
            </w:pPr>
            <w:r w:rsidRPr="00AE0294">
              <w:rPr>
                <w:rFonts w:cstheme="minorHAnsi"/>
                <w:b/>
                <w:bCs/>
                <w:sz w:val="24"/>
                <w:szCs w:val="24"/>
                <w:lang w:eastAsia="en-IN"/>
              </w:rPr>
              <w:t>Principal</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rsidR="002103AF" w:rsidRPr="00AE0294" w:rsidRDefault="002103AF" w:rsidP="002103AF">
            <w:pPr>
              <w:spacing w:after="0" w:line="240" w:lineRule="auto"/>
              <w:jc w:val="center"/>
              <w:rPr>
                <w:rFonts w:cstheme="minorHAnsi"/>
                <w:b/>
                <w:bCs/>
                <w:sz w:val="24"/>
                <w:szCs w:val="24"/>
                <w:lang w:eastAsia="en-IN"/>
              </w:rPr>
            </w:pPr>
            <w:r w:rsidRPr="00AE0294">
              <w:rPr>
                <w:rFonts w:cstheme="minorHAnsi"/>
                <w:b/>
                <w:bCs/>
                <w:sz w:val="24"/>
                <w:szCs w:val="24"/>
                <w:lang w:eastAsia="en-IN"/>
              </w:rPr>
              <w:t>Carrying Cost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2103AF" w:rsidRPr="00AE0294" w:rsidRDefault="002103AF" w:rsidP="002103AF">
            <w:pPr>
              <w:spacing w:after="0" w:line="240" w:lineRule="auto"/>
              <w:jc w:val="center"/>
              <w:rPr>
                <w:rFonts w:cstheme="minorHAnsi"/>
                <w:b/>
                <w:bCs/>
                <w:sz w:val="24"/>
                <w:szCs w:val="24"/>
                <w:lang w:eastAsia="en-IN"/>
              </w:rPr>
            </w:pPr>
            <w:r w:rsidRPr="00AE0294">
              <w:rPr>
                <w:rFonts w:cstheme="minorHAnsi"/>
                <w:b/>
                <w:bCs/>
                <w:sz w:val="24"/>
                <w:szCs w:val="24"/>
                <w:lang w:eastAsia="en-IN"/>
              </w:rPr>
              <w:t>Total</w:t>
            </w:r>
          </w:p>
        </w:tc>
      </w:tr>
      <w:tr w:rsidR="002103AF" w:rsidRPr="00AE0294" w:rsidTr="002103AF">
        <w:trPr>
          <w:trHeight w:val="300"/>
          <w:tblHead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03AF" w:rsidRPr="00AE0294" w:rsidRDefault="002103AF" w:rsidP="002103AF">
            <w:pPr>
              <w:spacing w:after="0" w:line="240" w:lineRule="auto"/>
              <w:jc w:val="center"/>
              <w:rPr>
                <w:rFonts w:cstheme="minorHAnsi"/>
                <w:bCs/>
                <w:sz w:val="24"/>
                <w:szCs w:val="24"/>
                <w:lang w:eastAsia="en-IN"/>
              </w:rPr>
            </w:pPr>
            <w:r w:rsidRPr="00AE0294">
              <w:rPr>
                <w:rFonts w:cstheme="minorHAnsi"/>
                <w:color w:val="000000"/>
                <w:sz w:val="24"/>
                <w:szCs w:val="24"/>
              </w:rPr>
              <w:t>1</w:t>
            </w:r>
          </w:p>
        </w:tc>
        <w:tc>
          <w:tcPr>
            <w:tcW w:w="4110" w:type="dxa"/>
            <w:tcBorders>
              <w:top w:val="single" w:sz="4" w:space="0" w:color="auto"/>
              <w:left w:val="nil"/>
              <w:bottom w:val="single" w:sz="4" w:space="0" w:color="auto"/>
              <w:right w:val="single" w:sz="4" w:space="0" w:color="auto"/>
            </w:tcBorders>
            <w:shd w:val="clear" w:color="auto" w:fill="auto"/>
            <w:noWrap/>
            <w:vAlign w:val="bottom"/>
          </w:tcPr>
          <w:p w:rsidR="002103AF" w:rsidRPr="00AE0294" w:rsidRDefault="00093E2F" w:rsidP="002103AF">
            <w:pPr>
              <w:spacing w:after="0" w:line="240" w:lineRule="auto"/>
              <w:jc w:val="both"/>
              <w:rPr>
                <w:rFonts w:cstheme="minorHAnsi"/>
                <w:bCs/>
                <w:sz w:val="24"/>
                <w:szCs w:val="24"/>
                <w:lang w:eastAsia="en-IN"/>
              </w:rPr>
            </w:pPr>
            <w:r w:rsidRPr="00AE0294">
              <w:rPr>
                <w:rFonts w:cstheme="minorHAnsi"/>
                <w:sz w:val="24"/>
                <w:szCs w:val="24"/>
              </w:rPr>
              <w:t>Write Back of Miscellaneous Provisions considered as Non-Tariff Income FY 2007-08 to FY 2019-20</w:t>
            </w:r>
          </w:p>
        </w:tc>
        <w:tc>
          <w:tcPr>
            <w:tcW w:w="1083" w:type="dxa"/>
            <w:tcBorders>
              <w:top w:val="single" w:sz="4" w:space="0" w:color="auto"/>
              <w:left w:val="nil"/>
              <w:bottom w:val="single" w:sz="4" w:space="0" w:color="auto"/>
              <w:right w:val="single" w:sz="4" w:space="0" w:color="auto"/>
            </w:tcBorders>
            <w:shd w:val="clear" w:color="auto" w:fill="auto"/>
            <w:noWrap/>
            <w:vAlign w:val="center"/>
          </w:tcPr>
          <w:p w:rsidR="002103AF" w:rsidRPr="00AE0294" w:rsidRDefault="002103AF" w:rsidP="002103AF">
            <w:pPr>
              <w:spacing w:after="0" w:line="240" w:lineRule="auto"/>
              <w:jc w:val="center"/>
              <w:rPr>
                <w:rFonts w:cstheme="minorHAnsi"/>
                <w:b/>
                <w:bCs/>
                <w:sz w:val="24"/>
                <w:szCs w:val="24"/>
                <w:lang w:eastAsia="en-IN"/>
              </w:rPr>
            </w:pPr>
            <w:r w:rsidRPr="00AE0294">
              <w:rPr>
                <w:rFonts w:cstheme="minorHAnsi"/>
                <w:color w:val="000000"/>
                <w:sz w:val="24"/>
                <w:szCs w:val="24"/>
              </w:rPr>
              <w:t>222</w:t>
            </w:r>
          </w:p>
        </w:tc>
        <w:tc>
          <w:tcPr>
            <w:tcW w:w="1480" w:type="dxa"/>
            <w:tcBorders>
              <w:top w:val="single" w:sz="4" w:space="0" w:color="auto"/>
              <w:left w:val="nil"/>
              <w:bottom w:val="single" w:sz="4" w:space="0" w:color="auto"/>
              <w:right w:val="single" w:sz="4" w:space="0" w:color="auto"/>
            </w:tcBorders>
            <w:shd w:val="clear" w:color="auto" w:fill="auto"/>
            <w:noWrap/>
            <w:vAlign w:val="center"/>
          </w:tcPr>
          <w:p w:rsidR="002103AF" w:rsidRPr="00AE0294" w:rsidRDefault="002103AF" w:rsidP="002103AF">
            <w:pPr>
              <w:spacing w:after="0" w:line="240" w:lineRule="auto"/>
              <w:jc w:val="center"/>
              <w:rPr>
                <w:rFonts w:cstheme="minorHAnsi"/>
                <w:b/>
                <w:bCs/>
                <w:sz w:val="24"/>
                <w:szCs w:val="24"/>
                <w:lang w:eastAsia="en-IN"/>
              </w:rPr>
            </w:pPr>
            <w:r w:rsidRPr="00AE0294">
              <w:rPr>
                <w:rFonts w:cstheme="minorHAnsi"/>
                <w:color w:val="000000"/>
                <w:sz w:val="24"/>
                <w:szCs w:val="24"/>
              </w:rPr>
              <w:t>790</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2103AF" w:rsidRPr="00AE0294" w:rsidRDefault="002103AF" w:rsidP="002103AF">
            <w:pPr>
              <w:spacing w:after="0" w:line="240" w:lineRule="auto"/>
              <w:jc w:val="center"/>
              <w:rPr>
                <w:rFonts w:cstheme="minorHAnsi"/>
                <w:b/>
                <w:bCs/>
                <w:sz w:val="24"/>
                <w:szCs w:val="24"/>
                <w:lang w:eastAsia="en-IN"/>
              </w:rPr>
            </w:pPr>
            <w:r w:rsidRPr="00AE0294">
              <w:rPr>
                <w:rFonts w:cstheme="minorHAnsi"/>
                <w:color w:val="000000"/>
                <w:sz w:val="24"/>
                <w:szCs w:val="24"/>
              </w:rPr>
              <w:t>1013</w:t>
            </w:r>
          </w:p>
        </w:tc>
      </w:tr>
      <w:tr w:rsidR="002103AF" w:rsidRPr="00AE0294" w:rsidTr="002103AF">
        <w:trPr>
          <w:trHeight w:val="300"/>
          <w:tblHead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03AF" w:rsidRPr="00AE0294" w:rsidRDefault="002103AF" w:rsidP="002103AF">
            <w:pPr>
              <w:spacing w:after="0" w:line="240" w:lineRule="auto"/>
              <w:jc w:val="center"/>
              <w:rPr>
                <w:rFonts w:cstheme="minorHAnsi"/>
                <w:bCs/>
                <w:sz w:val="24"/>
                <w:szCs w:val="24"/>
                <w:lang w:eastAsia="en-IN"/>
              </w:rPr>
            </w:pPr>
            <w:r w:rsidRPr="00AE0294">
              <w:rPr>
                <w:rFonts w:cstheme="minorHAnsi"/>
                <w:color w:val="000000"/>
                <w:sz w:val="24"/>
                <w:szCs w:val="24"/>
              </w:rPr>
              <w:t>2</w:t>
            </w:r>
          </w:p>
        </w:tc>
        <w:tc>
          <w:tcPr>
            <w:tcW w:w="4110" w:type="dxa"/>
            <w:tcBorders>
              <w:top w:val="single" w:sz="4" w:space="0" w:color="auto"/>
              <w:left w:val="nil"/>
              <w:bottom w:val="single" w:sz="4" w:space="0" w:color="auto"/>
              <w:right w:val="single" w:sz="4" w:space="0" w:color="auto"/>
            </w:tcBorders>
            <w:shd w:val="clear" w:color="auto" w:fill="auto"/>
            <w:noWrap/>
            <w:vAlign w:val="bottom"/>
          </w:tcPr>
          <w:p w:rsidR="002103AF" w:rsidRPr="009A3081" w:rsidRDefault="0090154C" w:rsidP="002103AF">
            <w:pPr>
              <w:spacing w:after="0" w:line="240" w:lineRule="auto"/>
              <w:jc w:val="both"/>
              <w:rPr>
                <w:rFonts w:cstheme="minorHAnsi"/>
                <w:sz w:val="24"/>
                <w:szCs w:val="24"/>
              </w:rPr>
            </w:pPr>
            <w:r w:rsidRPr="00AE0294">
              <w:rPr>
                <w:rFonts w:cstheme="minorHAnsi"/>
                <w:sz w:val="24"/>
                <w:szCs w:val="24"/>
              </w:rPr>
              <w:t>Disallowances of Power Purchase cost for FY 2013-14 on account of MOD</w:t>
            </w:r>
          </w:p>
        </w:tc>
        <w:tc>
          <w:tcPr>
            <w:tcW w:w="1083" w:type="dxa"/>
            <w:tcBorders>
              <w:top w:val="single" w:sz="4" w:space="0" w:color="auto"/>
              <w:left w:val="nil"/>
              <w:bottom w:val="single" w:sz="4" w:space="0" w:color="auto"/>
              <w:right w:val="single" w:sz="4" w:space="0" w:color="auto"/>
            </w:tcBorders>
            <w:shd w:val="clear" w:color="auto" w:fill="auto"/>
            <w:noWrap/>
            <w:vAlign w:val="center"/>
          </w:tcPr>
          <w:p w:rsidR="002103AF" w:rsidRPr="00AE0294" w:rsidRDefault="002103AF" w:rsidP="002103AF">
            <w:pPr>
              <w:spacing w:after="0" w:line="240" w:lineRule="auto"/>
              <w:jc w:val="center"/>
              <w:rPr>
                <w:rFonts w:cstheme="minorHAnsi"/>
                <w:b/>
                <w:bCs/>
                <w:sz w:val="24"/>
                <w:szCs w:val="24"/>
                <w:lang w:eastAsia="en-IN"/>
              </w:rPr>
            </w:pPr>
            <w:r w:rsidRPr="00AE0294">
              <w:rPr>
                <w:rFonts w:cstheme="minorHAnsi"/>
                <w:color w:val="000000"/>
                <w:sz w:val="24"/>
                <w:szCs w:val="24"/>
              </w:rPr>
              <w:t>27</w:t>
            </w:r>
          </w:p>
        </w:tc>
        <w:tc>
          <w:tcPr>
            <w:tcW w:w="1480" w:type="dxa"/>
            <w:tcBorders>
              <w:top w:val="single" w:sz="4" w:space="0" w:color="auto"/>
              <w:left w:val="nil"/>
              <w:bottom w:val="single" w:sz="4" w:space="0" w:color="auto"/>
              <w:right w:val="single" w:sz="4" w:space="0" w:color="auto"/>
            </w:tcBorders>
            <w:shd w:val="clear" w:color="auto" w:fill="auto"/>
            <w:noWrap/>
            <w:vAlign w:val="center"/>
          </w:tcPr>
          <w:p w:rsidR="002103AF" w:rsidRPr="00AE0294" w:rsidRDefault="002103AF" w:rsidP="002103AF">
            <w:pPr>
              <w:spacing w:after="0" w:line="240" w:lineRule="auto"/>
              <w:jc w:val="center"/>
              <w:rPr>
                <w:rFonts w:cstheme="minorHAnsi"/>
                <w:b/>
                <w:bCs/>
                <w:sz w:val="24"/>
                <w:szCs w:val="24"/>
                <w:lang w:eastAsia="en-IN"/>
              </w:rPr>
            </w:pPr>
            <w:r w:rsidRPr="00AE0294">
              <w:rPr>
                <w:rFonts w:cstheme="minorHAnsi"/>
                <w:color w:val="000000"/>
                <w:sz w:val="24"/>
                <w:szCs w:val="24"/>
              </w:rPr>
              <w:t>55</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2103AF" w:rsidRPr="00AE0294" w:rsidRDefault="002103AF" w:rsidP="002103AF">
            <w:pPr>
              <w:spacing w:after="0" w:line="240" w:lineRule="auto"/>
              <w:jc w:val="center"/>
              <w:rPr>
                <w:rFonts w:cstheme="minorHAnsi"/>
                <w:b/>
                <w:bCs/>
                <w:sz w:val="24"/>
                <w:szCs w:val="24"/>
                <w:lang w:eastAsia="en-IN"/>
              </w:rPr>
            </w:pPr>
            <w:r w:rsidRPr="00AE0294">
              <w:rPr>
                <w:rFonts w:cstheme="minorHAnsi"/>
                <w:color w:val="000000"/>
                <w:sz w:val="24"/>
                <w:szCs w:val="24"/>
              </w:rPr>
              <w:t>82</w:t>
            </w:r>
          </w:p>
        </w:tc>
      </w:tr>
      <w:tr w:rsidR="002103AF" w:rsidRPr="00AE0294" w:rsidTr="002103AF">
        <w:trPr>
          <w:trHeight w:val="300"/>
          <w:tblHead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03AF" w:rsidRPr="00AE0294" w:rsidRDefault="002103AF" w:rsidP="002103AF">
            <w:pPr>
              <w:spacing w:after="0" w:line="240" w:lineRule="auto"/>
              <w:jc w:val="center"/>
              <w:rPr>
                <w:rFonts w:cstheme="minorHAnsi"/>
                <w:bCs/>
                <w:sz w:val="24"/>
                <w:szCs w:val="24"/>
                <w:lang w:eastAsia="en-IN"/>
              </w:rPr>
            </w:pPr>
            <w:r w:rsidRPr="00AE0294">
              <w:rPr>
                <w:rFonts w:cstheme="minorHAnsi"/>
                <w:color w:val="000000"/>
                <w:sz w:val="24"/>
                <w:szCs w:val="24"/>
              </w:rPr>
              <w:t>3</w:t>
            </w:r>
          </w:p>
        </w:tc>
        <w:tc>
          <w:tcPr>
            <w:tcW w:w="4110" w:type="dxa"/>
            <w:tcBorders>
              <w:top w:val="single" w:sz="4" w:space="0" w:color="auto"/>
              <w:left w:val="nil"/>
              <w:bottom w:val="single" w:sz="4" w:space="0" w:color="auto"/>
              <w:right w:val="single" w:sz="4" w:space="0" w:color="auto"/>
            </w:tcBorders>
            <w:shd w:val="clear" w:color="auto" w:fill="auto"/>
            <w:noWrap/>
            <w:vAlign w:val="bottom"/>
          </w:tcPr>
          <w:p w:rsidR="002103AF" w:rsidRPr="009A3081" w:rsidRDefault="001512A0" w:rsidP="009A3081">
            <w:pPr>
              <w:spacing w:after="0" w:line="240" w:lineRule="auto"/>
              <w:jc w:val="both"/>
              <w:rPr>
                <w:rFonts w:cstheme="minorHAnsi"/>
                <w:sz w:val="24"/>
                <w:szCs w:val="24"/>
              </w:rPr>
            </w:pPr>
            <w:r w:rsidRPr="00AE0294">
              <w:rPr>
                <w:rFonts w:cstheme="minorHAnsi"/>
                <w:sz w:val="24"/>
                <w:szCs w:val="24"/>
              </w:rPr>
              <w:t>Loss on Sale due to Retirement of Assets for period upto FY 2019-20</w:t>
            </w:r>
          </w:p>
        </w:tc>
        <w:tc>
          <w:tcPr>
            <w:tcW w:w="1083" w:type="dxa"/>
            <w:tcBorders>
              <w:top w:val="single" w:sz="4" w:space="0" w:color="auto"/>
              <w:left w:val="nil"/>
              <w:bottom w:val="single" w:sz="4" w:space="0" w:color="auto"/>
              <w:right w:val="single" w:sz="4" w:space="0" w:color="auto"/>
            </w:tcBorders>
            <w:shd w:val="clear" w:color="auto" w:fill="auto"/>
            <w:noWrap/>
            <w:vAlign w:val="center"/>
          </w:tcPr>
          <w:p w:rsidR="002103AF" w:rsidRPr="00AE0294" w:rsidRDefault="002103AF" w:rsidP="002103AF">
            <w:pPr>
              <w:spacing w:after="0" w:line="240" w:lineRule="auto"/>
              <w:jc w:val="center"/>
              <w:rPr>
                <w:rFonts w:cstheme="minorHAnsi"/>
                <w:b/>
                <w:bCs/>
                <w:sz w:val="24"/>
                <w:szCs w:val="24"/>
                <w:lang w:eastAsia="en-IN"/>
              </w:rPr>
            </w:pPr>
            <w:r w:rsidRPr="00AE0294">
              <w:rPr>
                <w:rFonts w:cstheme="minorHAnsi"/>
                <w:color w:val="000000"/>
                <w:sz w:val="24"/>
                <w:szCs w:val="24"/>
              </w:rPr>
              <w:t>79</w:t>
            </w:r>
          </w:p>
        </w:tc>
        <w:tc>
          <w:tcPr>
            <w:tcW w:w="1480" w:type="dxa"/>
            <w:tcBorders>
              <w:top w:val="single" w:sz="4" w:space="0" w:color="auto"/>
              <w:left w:val="nil"/>
              <w:bottom w:val="single" w:sz="4" w:space="0" w:color="auto"/>
              <w:right w:val="single" w:sz="4" w:space="0" w:color="auto"/>
            </w:tcBorders>
            <w:shd w:val="clear" w:color="auto" w:fill="auto"/>
            <w:noWrap/>
            <w:vAlign w:val="center"/>
          </w:tcPr>
          <w:p w:rsidR="002103AF" w:rsidRPr="00AE0294" w:rsidRDefault="002103AF" w:rsidP="002103AF">
            <w:pPr>
              <w:spacing w:after="0" w:line="240" w:lineRule="auto"/>
              <w:jc w:val="center"/>
              <w:rPr>
                <w:rFonts w:cstheme="minorHAnsi"/>
                <w:b/>
                <w:bCs/>
                <w:sz w:val="24"/>
                <w:szCs w:val="24"/>
                <w:lang w:eastAsia="en-IN"/>
              </w:rPr>
            </w:pPr>
            <w:r w:rsidRPr="00AE0294">
              <w:rPr>
                <w:rFonts w:cstheme="minorHAnsi"/>
                <w:color w:val="000000"/>
                <w:sz w:val="24"/>
                <w:szCs w:val="24"/>
              </w:rPr>
              <w:t>117</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2103AF" w:rsidRPr="00AE0294" w:rsidRDefault="002103AF" w:rsidP="002103AF">
            <w:pPr>
              <w:spacing w:after="0" w:line="240" w:lineRule="auto"/>
              <w:jc w:val="center"/>
              <w:rPr>
                <w:rFonts w:cstheme="minorHAnsi"/>
                <w:b/>
                <w:bCs/>
                <w:sz w:val="24"/>
                <w:szCs w:val="24"/>
                <w:lang w:eastAsia="en-IN"/>
              </w:rPr>
            </w:pPr>
            <w:r w:rsidRPr="00AE0294">
              <w:rPr>
                <w:rFonts w:cstheme="minorHAnsi"/>
                <w:color w:val="000000"/>
                <w:sz w:val="24"/>
                <w:szCs w:val="24"/>
              </w:rPr>
              <w:t>196</w:t>
            </w:r>
          </w:p>
        </w:tc>
      </w:tr>
      <w:tr w:rsidR="002103AF" w:rsidRPr="00AE0294" w:rsidTr="002103AF">
        <w:trPr>
          <w:trHeight w:val="300"/>
          <w:tblHead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03AF" w:rsidRPr="00AE0294" w:rsidRDefault="005C42D0" w:rsidP="002103AF">
            <w:pPr>
              <w:spacing w:after="0" w:line="240" w:lineRule="auto"/>
              <w:jc w:val="center"/>
              <w:rPr>
                <w:rFonts w:cstheme="minorHAnsi"/>
                <w:color w:val="000000"/>
                <w:sz w:val="24"/>
                <w:szCs w:val="24"/>
              </w:rPr>
            </w:pPr>
            <w:r w:rsidRPr="00AE0294">
              <w:rPr>
                <w:rFonts w:cstheme="minorHAnsi"/>
                <w:color w:val="000000"/>
                <w:sz w:val="24"/>
                <w:szCs w:val="24"/>
              </w:rPr>
              <w:t>4</w:t>
            </w:r>
          </w:p>
        </w:tc>
        <w:tc>
          <w:tcPr>
            <w:tcW w:w="4110" w:type="dxa"/>
            <w:tcBorders>
              <w:top w:val="single" w:sz="4" w:space="0" w:color="auto"/>
              <w:left w:val="nil"/>
              <w:bottom w:val="single" w:sz="4" w:space="0" w:color="auto"/>
              <w:right w:val="single" w:sz="4" w:space="0" w:color="auto"/>
            </w:tcBorders>
            <w:shd w:val="clear" w:color="auto" w:fill="auto"/>
            <w:noWrap/>
          </w:tcPr>
          <w:p w:rsidR="002103AF" w:rsidRPr="009A3081" w:rsidRDefault="005C42D0" w:rsidP="002103AF">
            <w:pPr>
              <w:spacing w:after="0" w:line="240" w:lineRule="auto"/>
              <w:jc w:val="both"/>
              <w:rPr>
                <w:rFonts w:cstheme="minorHAnsi"/>
                <w:sz w:val="24"/>
                <w:szCs w:val="24"/>
              </w:rPr>
            </w:pPr>
            <w:r w:rsidRPr="00AE0294">
              <w:rPr>
                <w:rFonts w:cstheme="minorHAnsi"/>
                <w:sz w:val="24"/>
                <w:szCs w:val="24"/>
              </w:rPr>
              <w:t>Impact of issues allowed by Hon’ble Commission in Review Order dated 09.09.2022</w:t>
            </w:r>
          </w:p>
        </w:tc>
        <w:tc>
          <w:tcPr>
            <w:tcW w:w="1083" w:type="dxa"/>
            <w:tcBorders>
              <w:top w:val="single" w:sz="4" w:space="0" w:color="auto"/>
              <w:left w:val="nil"/>
              <w:bottom w:val="single" w:sz="4" w:space="0" w:color="auto"/>
              <w:right w:val="single" w:sz="4" w:space="0" w:color="auto"/>
            </w:tcBorders>
            <w:shd w:val="clear" w:color="auto" w:fill="auto"/>
            <w:noWrap/>
            <w:vAlign w:val="center"/>
          </w:tcPr>
          <w:p w:rsidR="002103AF" w:rsidRPr="00AE0294" w:rsidRDefault="002103AF" w:rsidP="002103AF">
            <w:pPr>
              <w:spacing w:after="0" w:line="240" w:lineRule="auto"/>
              <w:jc w:val="center"/>
              <w:rPr>
                <w:rFonts w:cstheme="minorHAnsi"/>
                <w:b/>
                <w:color w:val="000000"/>
                <w:sz w:val="24"/>
                <w:szCs w:val="24"/>
              </w:rPr>
            </w:pPr>
          </w:p>
        </w:tc>
        <w:tc>
          <w:tcPr>
            <w:tcW w:w="1480" w:type="dxa"/>
            <w:tcBorders>
              <w:top w:val="single" w:sz="4" w:space="0" w:color="auto"/>
              <w:left w:val="nil"/>
              <w:bottom w:val="single" w:sz="4" w:space="0" w:color="auto"/>
              <w:right w:val="single" w:sz="4" w:space="0" w:color="auto"/>
            </w:tcBorders>
            <w:shd w:val="clear" w:color="auto" w:fill="auto"/>
            <w:noWrap/>
            <w:vAlign w:val="center"/>
          </w:tcPr>
          <w:p w:rsidR="002103AF" w:rsidRPr="00AE0294" w:rsidRDefault="002103AF" w:rsidP="002103AF">
            <w:pPr>
              <w:spacing w:after="0" w:line="240" w:lineRule="auto"/>
              <w:jc w:val="center"/>
              <w:rPr>
                <w:rFonts w:cstheme="minorHAnsi"/>
                <w:b/>
                <w:color w:val="000000"/>
                <w:sz w:val="24"/>
                <w:szCs w:val="24"/>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2103AF" w:rsidRPr="00AE0294" w:rsidRDefault="002103AF" w:rsidP="002103AF">
            <w:pPr>
              <w:spacing w:after="0" w:line="240" w:lineRule="auto"/>
              <w:jc w:val="center"/>
              <w:rPr>
                <w:rFonts w:cstheme="minorHAnsi"/>
                <w:b/>
                <w:color w:val="000000"/>
                <w:sz w:val="24"/>
                <w:szCs w:val="24"/>
              </w:rPr>
            </w:pPr>
          </w:p>
        </w:tc>
      </w:tr>
      <w:tr w:rsidR="002103AF" w:rsidRPr="00AE0294" w:rsidTr="002103AF">
        <w:trPr>
          <w:trHeight w:val="6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2103AF" w:rsidRPr="00AE0294" w:rsidRDefault="005C42D0" w:rsidP="002103AF">
            <w:pPr>
              <w:spacing w:after="0" w:line="240" w:lineRule="auto"/>
              <w:jc w:val="center"/>
              <w:rPr>
                <w:rFonts w:cstheme="minorHAnsi"/>
                <w:i/>
                <w:sz w:val="24"/>
                <w:szCs w:val="24"/>
                <w:lang w:eastAsia="en-IN"/>
              </w:rPr>
            </w:pPr>
            <w:r w:rsidRPr="00AE0294">
              <w:rPr>
                <w:rFonts w:cstheme="minorHAnsi"/>
                <w:i/>
                <w:sz w:val="24"/>
                <w:szCs w:val="24"/>
                <w:lang w:eastAsia="en-IN"/>
              </w:rPr>
              <w:t>i</w:t>
            </w:r>
          </w:p>
        </w:tc>
        <w:tc>
          <w:tcPr>
            <w:tcW w:w="4110" w:type="dxa"/>
            <w:tcBorders>
              <w:top w:val="nil"/>
              <w:left w:val="nil"/>
              <w:bottom w:val="single" w:sz="4" w:space="0" w:color="auto"/>
              <w:right w:val="single" w:sz="4" w:space="0" w:color="auto"/>
            </w:tcBorders>
            <w:shd w:val="clear" w:color="auto" w:fill="auto"/>
            <w:vAlign w:val="bottom"/>
          </w:tcPr>
          <w:p w:rsidR="002103AF" w:rsidRPr="00AE0294" w:rsidRDefault="002103AF" w:rsidP="002103AF">
            <w:pPr>
              <w:spacing w:after="0" w:line="240" w:lineRule="auto"/>
              <w:jc w:val="both"/>
              <w:rPr>
                <w:rFonts w:cstheme="minorHAnsi"/>
                <w:i/>
                <w:sz w:val="24"/>
                <w:szCs w:val="24"/>
                <w:lang w:eastAsia="en-IN"/>
              </w:rPr>
            </w:pPr>
            <w:r w:rsidRPr="00AE0294">
              <w:rPr>
                <w:rFonts w:cstheme="minorHAnsi"/>
                <w:i/>
                <w:color w:val="000000"/>
                <w:sz w:val="24"/>
                <w:szCs w:val="24"/>
              </w:rPr>
              <w:t>Inadvertent error in considering Net Metering units in Energy input for FY 2019-20</w:t>
            </w:r>
          </w:p>
        </w:tc>
        <w:tc>
          <w:tcPr>
            <w:tcW w:w="1083" w:type="dxa"/>
            <w:tcBorders>
              <w:top w:val="nil"/>
              <w:left w:val="nil"/>
              <w:bottom w:val="single" w:sz="4" w:space="0" w:color="auto"/>
              <w:right w:val="single" w:sz="4" w:space="0" w:color="auto"/>
            </w:tcBorders>
            <w:shd w:val="clear" w:color="auto" w:fill="auto"/>
            <w:noWrap/>
            <w:vAlign w:val="center"/>
          </w:tcPr>
          <w:p w:rsidR="002103AF" w:rsidRPr="00AE0294" w:rsidRDefault="002103AF" w:rsidP="002103AF">
            <w:pPr>
              <w:spacing w:after="0" w:line="240" w:lineRule="auto"/>
              <w:jc w:val="center"/>
              <w:rPr>
                <w:rFonts w:cstheme="minorHAnsi"/>
                <w:i/>
                <w:sz w:val="24"/>
                <w:szCs w:val="24"/>
                <w:lang w:eastAsia="en-IN"/>
              </w:rPr>
            </w:pPr>
            <w:r w:rsidRPr="00AE0294">
              <w:rPr>
                <w:rFonts w:cstheme="minorHAnsi"/>
                <w:i/>
                <w:color w:val="000000"/>
                <w:sz w:val="24"/>
                <w:szCs w:val="24"/>
              </w:rPr>
              <w:t>0.9</w:t>
            </w:r>
          </w:p>
        </w:tc>
        <w:tc>
          <w:tcPr>
            <w:tcW w:w="1480" w:type="dxa"/>
            <w:tcBorders>
              <w:top w:val="nil"/>
              <w:left w:val="nil"/>
              <w:bottom w:val="single" w:sz="4" w:space="0" w:color="auto"/>
              <w:right w:val="single" w:sz="4" w:space="0" w:color="auto"/>
            </w:tcBorders>
            <w:shd w:val="clear" w:color="auto" w:fill="auto"/>
            <w:noWrap/>
            <w:vAlign w:val="center"/>
          </w:tcPr>
          <w:p w:rsidR="002103AF" w:rsidRPr="00AE0294" w:rsidRDefault="002103AF" w:rsidP="002103AF">
            <w:pPr>
              <w:spacing w:after="0" w:line="240" w:lineRule="auto"/>
              <w:jc w:val="center"/>
              <w:rPr>
                <w:rFonts w:cstheme="minorHAnsi"/>
                <w:i/>
                <w:sz w:val="24"/>
                <w:szCs w:val="24"/>
                <w:lang w:eastAsia="en-IN"/>
              </w:rPr>
            </w:pPr>
            <w:r w:rsidRPr="00AE0294">
              <w:rPr>
                <w:rFonts w:cstheme="minorHAnsi"/>
                <w:i/>
                <w:color w:val="000000"/>
                <w:sz w:val="24"/>
                <w:szCs w:val="24"/>
              </w:rPr>
              <w:t>0.3</w:t>
            </w:r>
          </w:p>
        </w:tc>
        <w:tc>
          <w:tcPr>
            <w:tcW w:w="960" w:type="dxa"/>
            <w:tcBorders>
              <w:top w:val="nil"/>
              <w:left w:val="nil"/>
              <w:bottom w:val="single" w:sz="4" w:space="0" w:color="auto"/>
              <w:right w:val="single" w:sz="4" w:space="0" w:color="auto"/>
            </w:tcBorders>
            <w:shd w:val="clear" w:color="auto" w:fill="auto"/>
            <w:noWrap/>
            <w:vAlign w:val="center"/>
          </w:tcPr>
          <w:p w:rsidR="002103AF" w:rsidRPr="00AE0294" w:rsidRDefault="002103AF" w:rsidP="002103AF">
            <w:pPr>
              <w:spacing w:after="0" w:line="240" w:lineRule="auto"/>
              <w:jc w:val="center"/>
              <w:rPr>
                <w:rFonts w:cstheme="minorHAnsi"/>
                <w:i/>
                <w:sz w:val="24"/>
                <w:szCs w:val="24"/>
                <w:lang w:eastAsia="en-IN"/>
              </w:rPr>
            </w:pPr>
            <w:r w:rsidRPr="00AE0294">
              <w:rPr>
                <w:rFonts w:cstheme="minorHAnsi"/>
                <w:i/>
                <w:color w:val="000000"/>
                <w:sz w:val="24"/>
                <w:szCs w:val="24"/>
              </w:rPr>
              <w:t>1.3</w:t>
            </w:r>
          </w:p>
        </w:tc>
      </w:tr>
      <w:tr w:rsidR="002103AF" w:rsidRPr="00AE0294" w:rsidTr="002103AF">
        <w:trPr>
          <w:trHeight w:val="600"/>
        </w:trPr>
        <w:tc>
          <w:tcPr>
            <w:tcW w:w="567" w:type="dxa"/>
            <w:tcBorders>
              <w:top w:val="nil"/>
              <w:left w:val="single" w:sz="4" w:space="0" w:color="auto"/>
              <w:bottom w:val="single" w:sz="4" w:space="0" w:color="auto"/>
              <w:right w:val="single" w:sz="4" w:space="0" w:color="auto"/>
            </w:tcBorders>
            <w:shd w:val="clear" w:color="auto" w:fill="auto"/>
            <w:vAlign w:val="center"/>
          </w:tcPr>
          <w:p w:rsidR="002103AF" w:rsidRPr="00AE0294" w:rsidRDefault="005C42D0" w:rsidP="002103AF">
            <w:pPr>
              <w:spacing w:after="0" w:line="240" w:lineRule="auto"/>
              <w:jc w:val="center"/>
              <w:rPr>
                <w:rFonts w:cstheme="minorHAnsi"/>
                <w:i/>
                <w:iCs/>
                <w:sz w:val="24"/>
                <w:szCs w:val="24"/>
                <w:lang w:eastAsia="en-IN"/>
              </w:rPr>
            </w:pPr>
            <w:r w:rsidRPr="00AE0294">
              <w:rPr>
                <w:rFonts w:cstheme="minorHAnsi"/>
                <w:i/>
                <w:iCs/>
                <w:sz w:val="24"/>
                <w:szCs w:val="24"/>
                <w:lang w:eastAsia="en-IN"/>
              </w:rPr>
              <w:t>ii</w:t>
            </w:r>
          </w:p>
        </w:tc>
        <w:tc>
          <w:tcPr>
            <w:tcW w:w="4110" w:type="dxa"/>
            <w:tcBorders>
              <w:top w:val="nil"/>
              <w:left w:val="nil"/>
              <w:bottom w:val="single" w:sz="4" w:space="0" w:color="auto"/>
              <w:right w:val="single" w:sz="4" w:space="0" w:color="auto"/>
            </w:tcBorders>
            <w:shd w:val="clear" w:color="auto" w:fill="auto"/>
            <w:vAlign w:val="bottom"/>
          </w:tcPr>
          <w:p w:rsidR="002103AF" w:rsidRPr="00AE0294" w:rsidRDefault="002103AF" w:rsidP="002103AF">
            <w:pPr>
              <w:spacing w:after="0" w:line="240" w:lineRule="auto"/>
              <w:jc w:val="both"/>
              <w:rPr>
                <w:rFonts w:cstheme="minorHAnsi"/>
                <w:i/>
                <w:iCs/>
                <w:sz w:val="24"/>
                <w:szCs w:val="24"/>
                <w:lang w:eastAsia="en-IN"/>
              </w:rPr>
            </w:pPr>
            <w:r w:rsidRPr="00AE0294">
              <w:rPr>
                <w:rFonts w:cstheme="minorHAnsi"/>
                <w:i/>
                <w:color w:val="000000"/>
                <w:sz w:val="24"/>
                <w:szCs w:val="24"/>
              </w:rPr>
              <w:t xml:space="preserve"> Inadvertent omission to allow capitalization of Rs.0.06 Cr. For FY 2017-18 on account of EIC</w:t>
            </w:r>
          </w:p>
        </w:tc>
        <w:tc>
          <w:tcPr>
            <w:tcW w:w="1083" w:type="dxa"/>
            <w:tcBorders>
              <w:top w:val="nil"/>
              <w:left w:val="nil"/>
              <w:bottom w:val="single" w:sz="4" w:space="0" w:color="auto"/>
              <w:right w:val="single" w:sz="4" w:space="0" w:color="auto"/>
            </w:tcBorders>
            <w:shd w:val="clear" w:color="auto" w:fill="auto"/>
            <w:noWrap/>
            <w:vAlign w:val="center"/>
          </w:tcPr>
          <w:p w:rsidR="002103AF" w:rsidRPr="00AE0294" w:rsidRDefault="002103AF" w:rsidP="002103AF">
            <w:pPr>
              <w:spacing w:after="0" w:line="240" w:lineRule="auto"/>
              <w:jc w:val="center"/>
              <w:rPr>
                <w:rFonts w:cstheme="minorHAnsi"/>
                <w:i/>
                <w:color w:val="000000"/>
                <w:sz w:val="24"/>
                <w:szCs w:val="24"/>
              </w:rPr>
            </w:pPr>
            <w:r w:rsidRPr="00AE0294">
              <w:rPr>
                <w:rFonts w:cstheme="minorHAnsi"/>
                <w:i/>
                <w:color w:val="000000"/>
                <w:sz w:val="24"/>
                <w:szCs w:val="24"/>
              </w:rPr>
              <w:t>0.01</w:t>
            </w:r>
          </w:p>
        </w:tc>
        <w:tc>
          <w:tcPr>
            <w:tcW w:w="1480" w:type="dxa"/>
            <w:tcBorders>
              <w:top w:val="nil"/>
              <w:left w:val="nil"/>
              <w:bottom w:val="single" w:sz="4" w:space="0" w:color="auto"/>
              <w:right w:val="single" w:sz="4" w:space="0" w:color="auto"/>
            </w:tcBorders>
            <w:shd w:val="clear" w:color="auto" w:fill="auto"/>
            <w:noWrap/>
            <w:vAlign w:val="center"/>
          </w:tcPr>
          <w:p w:rsidR="002103AF" w:rsidRPr="00AE0294" w:rsidRDefault="002103AF" w:rsidP="002103AF">
            <w:pPr>
              <w:spacing w:after="0" w:line="240" w:lineRule="auto"/>
              <w:jc w:val="center"/>
              <w:rPr>
                <w:rFonts w:cstheme="minorHAnsi"/>
                <w:i/>
                <w:color w:val="000000"/>
                <w:sz w:val="24"/>
                <w:szCs w:val="24"/>
              </w:rPr>
            </w:pPr>
            <w:r w:rsidRPr="00AE0294">
              <w:rPr>
                <w:rFonts w:cstheme="minorHAnsi"/>
                <w:i/>
                <w:color w:val="000000"/>
                <w:sz w:val="24"/>
                <w:szCs w:val="24"/>
              </w:rPr>
              <w:t>0.00</w:t>
            </w:r>
          </w:p>
        </w:tc>
        <w:tc>
          <w:tcPr>
            <w:tcW w:w="960" w:type="dxa"/>
            <w:tcBorders>
              <w:top w:val="nil"/>
              <w:left w:val="nil"/>
              <w:bottom w:val="single" w:sz="4" w:space="0" w:color="auto"/>
              <w:right w:val="single" w:sz="4" w:space="0" w:color="auto"/>
            </w:tcBorders>
            <w:shd w:val="clear" w:color="auto" w:fill="auto"/>
            <w:noWrap/>
            <w:vAlign w:val="center"/>
          </w:tcPr>
          <w:p w:rsidR="002103AF" w:rsidRPr="00AE0294" w:rsidRDefault="002103AF" w:rsidP="002103AF">
            <w:pPr>
              <w:spacing w:after="0" w:line="240" w:lineRule="auto"/>
              <w:jc w:val="center"/>
              <w:rPr>
                <w:rFonts w:cstheme="minorHAnsi"/>
                <w:i/>
                <w:color w:val="000000"/>
                <w:sz w:val="24"/>
                <w:szCs w:val="24"/>
              </w:rPr>
            </w:pPr>
            <w:r w:rsidRPr="00AE0294">
              <w:rPr>
                <w:rFonts w:cstheme="minorHAnsi"/>
                <w:i/>
                <w:color w:val="000000"/>
                <w:sz w:val="24"/>
                <w:szCs w:val="24"/>
              </w:rPr>
              <w:t>0.01</w:t>
            </w:r>
          </w:p>
        </w:tc>
      </w:tr>
      <w:tr w:rsidR="002103AF" w:rsidRPr="00AE0294" w:rsidTr="00C11B46">
        <w:trPr>
          <w:trHeight w:val="600"/>
        </w:trPr>
        <w:tc>
          <w:tcPr>
            <w:tcW w:w="567" w:type="dxa"/>
            <w:tcBorders>
              <w:top w:val="nil"/>
              <w:left w:val="single" w:sz="4" w:space="0" w:color="auto"/>
              <w:bottom w:val="single" w:sz="4" w:space="0" w:color="auto"/>
              <w:right w:val="single" w:sz="4" w:space="0" w:color="auto"/>
            </w:tcBorders>
            <w:shd w:val="clear" w:color="auto" w:fill="auto"/>
            <w:vAlign w:val="center"/>
          </w:tcPr>
          <w:p w:rsidR="002103AF" w:rsidRPr="00AE0294" w:rsidRDefault="005C42D0" w:rsidP="002103AF">
            <w:pPr>
              <w:spacing w:after="0" w:line="240" w:lineRule="auto"/>
              <w:jc w:val="center"/>
              <w:rPr>
                <w:rFonts w:cstheme="minorHAnsi"/>
                <w:iCs/>
                <w:sz w:val="24"/>
                <w:szCs w:val="24"/>
                <w:lang w:eastAsia="en-IN"/>
              </w:rPr>
            </w:pPr>
            <w:r w:rsidRPr="00AE0294">
              <w:rPr>
                <w:rFonts w:cstheme="minorHAnsi"/>
                <w:color w:val="000000"/>
                <w:sz w:val="24"/>
                <w:szCs w:val="24"/>
              </w:rPr>
              <w:t>5</w:t>
            </w:r>
          </w:p>
        </w:tc>
        <w:tc>
          <w:tcPr>
            <w:tcW w:w="4110" w:type="dxa"/>
            <w:tcBorders>
              <w:top w:val="nil"/>
              <w:left w:val="nil"/>
              <w:bottom w:val="single" w:sz="4" w:space="0" w:color="auto"/>
              <w:right w:val="single" w:sz="4" w:space="0" w:color="auto"/>
            </w:tcBorders>
            <w:shd w:val="clear" w:color="auto" w:fill="auto"/>
            <w:vAlign w:val="center"/>
          </w:tcPr>
          <w:p w:rsidR="002103AF" w:rsidRPr="00F85CD9" w:rsidRDefault="00D633F0" w:rsidP="00F85CD9">
            <w:pPr>
              <w:spacing w:after="0" w:line="240" w:lineRule="auto"/>
              <w:jc w:val="both"/>
              <w:rPr>
                <w:rFonts w:cstheme="minorHAnsi"/>
                <w:sz w:val="24"/>
                <w:szCs w:val="24"/>
              </w:rPr>
            </w:pPr>
            <w:r w:rsidRPr="00AE0294">
              <w:rPr>
                <w:rFonts w:cstheme="minorHAnsi"/>
                <w:sz w:val="24"/>
                <w:szCs w:val="24"/>
              </w:rPr>
              <w:t>True-up of Employee expenses for FY 2007-08 to FY 2011-12 to the extent of increase in consumer base:</w:t>
            </w:r>
          </w:p>
        </w:tc>
        <w:tc>
          <w:tcPr>
            <w:tcW w:w="1083" w:type="dxa"/>
            <w:tcBorders>
              <w:top w:val="nil"/>
              <w:left w:val="nil"/>
              <w:bottom w:val="single" w:sz="4" w:space="0" w:color="auto"/>
              <w:right w:val="single" w:sz="4" w:space="0" w:color="auto"/>
            </w:tcBorders>
            <w:shd w:val="clear" w:color="auto" w:fill="auto"/>
            <w:noWrap/>
            <w:vAlign w:val="center"/>
          </w:tcPr>
          <w:p w:rsidR="002103AF" w:rsidRPr="00AE0294" w:rsidRDefault="002103AF" w:rsidP="002103AF">
            <w:pPr>
              <w:spacing w:after="0" w:line="240" w:lineRule="auto"/>
              <w:jc w:val="center"/>
              <w:rPr>
                <w:rFonts w:cstheme="minorHAnsi"/>
                <w:color w:val="000000"/>
                <w:sz w:val="24"/>
                <w:szCs w:val="24"/>
              </w:rPr>
            </w:pPr>
            <w:r w:rsidRPr="00AE0294">
              <w:rPr>
                <w:rFonts w:cstheme="minorHAnsi"/>
                <w:color w:val="000000"/>
                <w:sz w:val="24"/>
                <w:szCs w:val="24"/>
              </w:rPr>
              <w:t>55</w:t>
            </w:r>
          </w:p>
        </w:tc>
        <w:tc>
          <w:tcPr>
            <w:tcW w:w="1480" w:type="dxa"/>
            <w:tcBorders>
              <w:top w:val="nil"/>
              <w:left w:val="nil"/>
              <w:bottom w:val="single" w:sz="4" w:space="0" w:color="auto"/>
              <w:right w:val="single" w:sz="4" w:space="0" w:color="auto"/>
            </w:tcBorders>
            <w:shd w:val="clear" w:color="auto" w:fill="auto"/>
            <w:noWrap/>
            <w:vAlign w:val="center"/>
          </w:tcPr>
          <w:p w:rsidR="002103AF" w:rsidRPr="00AE0294" w:rsidRDefault="002103AF" w:rsidP="002103AF">
            <w:pPr>
              <w:spacing w:after="0" w:line="240" w:lineRule="auto"/>
              <w:jc w:val="center"/>
              <w:rPr>
                <w:rFonts w:cstheme="minorHAnsi"/>
                <w:color w:val="000000"/>
                <w:sz w:val="24"/>
                <w:szCs w:val="24"/>
              </w:rPr>
            </w:pPr>
            <w:r w:rsidRPr="00AE0294">
              <w:rPr>
                <w:rFonts w:cstheme="minorHAnsi"/>
                <w:color w:val="000000"/>
                <w:sz w:val="24"/>
                <w:szCs w:val="24"/>
              </w:rPr>
              <w:t>240</w:t>
            </w:r>
          </w:p>
        </w:tc>
        <w:tc>
          <w:tcPr>
            <w:tcW w:w="960" w:type="dxa"/>
            <w:tcBorders>
              <w:top w:val="nil"/>
              <w:left w:val="nil"/>
              <w:bottom w:val="single" w:sz="4" w:space="0" w:color="auto"/>
              <w:right w:val="single" w:sz="4" w:space="0" w:color="auto"/>
            </w:tcBorders>
            <w:shd w:val="clear" w:color="auto" w:fill="auto"/>
            <w:noWrap/>
            <w:vAlign w:val="center"/>
          </w:tcPr>
          <w:p w:rsidR="002103AF" w:rsidRPr="00AE0294" w:rsidRDefault="002103AF" w:rsidP="002103AF">
            <w:pPr>
              <w:spacing w:after="0" w:line="240" w:lineRule="auto"/>
              <w:jc w:val="center"/>
              <w:rPr>
                <w:rFonts w:cstheme="minorHAnsi"/>
                <w:color w:val="000000"/>
                <w:sz w:val="24"/>
                <w:szCs w:val="24"/>
              </w:rPr>
            </w:pPr>
            <w:r w:rsidRPr="00AE0294">
              <w:rPr>
                <w:rFonts w:cstheme="minorHAnsi"/>
                <w:color w:val="000000"/>
                <w:sz w:val="24"/>
                <w:szCs w:val="24"/>
              </w:rPr>
              <w:t>295</w:t>
            </w:r>
          </w:p>
        </w:tc>
      </w:tr>
      <w:tr w:rsidR="002103AF" w:rsidRPr="00AE0294" w:rsidTr="00F85CD9">
        <w:trPr>
          <w:trHeight w:val="375"/>
        </w:trPr>
        <w:tc>
          <w:tcPr>
            <w:tcW w:w="567" w:type="dxa"/>
            <w:tcBorders>
              <w:top w:val="nil"/>
              <w:left w:val="single" w:sz="4" w:space="0" w:color="auto"/>
              <w:bottom w:val="single" w:sz="4" w:space="0" w:color="auto"/>
              <w:right w:val="single" w:sz="4" w:space="0" w:color="auto"/>
            </w:tcBorders>
            <w:shd w:val="clear" w:color="auto" w:fill="auto"/>
            <w:vAlign w:val="center"/>
          </w:tcPr>
          <w:p w:rsidR="002103AF" w:rsidRPr="00AE0294" w:rsidRDefault="005C42D0" w:rsidP="002103AF">
            <w:pPr>
              <w:spacing w:after="0" w:line="240" w:lineRule="auto"/>
              <w:jc w:val="center"/>
              <w:rPr>
                <w:rFonts w:cstheme="minorHAnsi"/>
                <w:iCs/>
                <w:sz w:val="24"/>
                <w:szCs w:val="24"/>
                <w:lang w:eastAsia="en-IN"/>
              </w:rPr>
            </w:pPr>
            <w:r w:rsidRPr="00AE0294">
              <w:rPr>
                <w:rFonts w:cstheme="minorHAnsi"/>
                <w:color w:val="000000"/>
                <w:sz w:val="24"/>
                <w:szCs w:val="24"/>
              </w:rPr>
              <w:t>6</w:t>
            </w:r>
          </w:p>
        </w:tc>
        <w:tc>
          <w:tcPr>
            <w:tcW w:w="4110" w:type="dxa"/>
            <w:tcBorders>
              <w:top w:val="nil"/>
              <w:left w:val="nil"/>
              <w:bottom w:val="single" w:sz="4" w:space="0" w:color="auto"/>
              <w:right w:val="single" w:sz="4" w:space="0" w:color="auto"/>
            </w:tcBorders>
            <w:shd w:val="clear" w:color="auto" w:fill="auto"/>
            <w:vAlign w:val="center"/>
          </w:tcPr>
          <w:p w:rsidR="002103AF" w:rsidRPr="00F85CD9" w:rsidRDefault="005C42D0" w:rsidP="00F85CD9">
            <w:pPr>
              <w:spacing w:after="0" w:line="240" w:lineRule="auto"/>
              <w:jc w:val="both"/>
              <w:rPr>
                <w:rFonts w:cstheme="minorHAnsi"/>
                <w:sz w:val="24"/>
                <w:szCs w:val="24"/>
              </w:rPr>
            </w:pPr>
            <w:r w:rsidRPr="00AE0294">
              <w:rPr>
                <w:rFonts w:cstheme="minorHAnsi"/>
                <w:sz w:val="24"/>
                <w:szCs w:val="24"/>
              </w:rPr>
              <w:t>R&amp;M and A&amp;G expenses for FY 2004-05</w:t>
            </w:r>
          </w:p>
        </w:tc>
        <w:tc>
          <w:tcPr>
            <w:tcW w:w="1083" w:type="dxa"/>
            <w:tcBorders>
              <w:top w:val="nil"/>
              <w:left w:val="nil"/>
              <w:bottom w:val="single" w:sz="4" w:space="0" w:color="auto"/>
              <w:right w:val="single" w:sz="4" w:space="0" w:color="auto"/>
            </w:tcBorders>
            <w:shd w:val="clear" w:color="auto" w:fill="auto"/>
            <w:noWrap/>
            <w:vAlign w:val="center"/>
          </w:tcPr>
          <w:p w:rsidR="002103AF" w:rsidRPr="00AE0294" w:rsidRDefault="002103AF" w:rsidP="002103AF">
            <w:pPr>
              <w:spacing w:after="0" w:line="240" w:lineRule="auto"/>
              <w:jc w:val="center"/>
              <w:rPr>
                <w:rFonts w:cstheme="minorHAnsi"/>
                <w:color w:val="000000"/>
                <w:sz w:val="24"/>
                <w:szCs w:val="24"/>
              </w:rPr>
            </w:pPr>
            <w:r w:rsidRPr="00AE0294">
              <w:rPr>
                <w:rFonts w:cstheme="minorHAnsi"/>
                <w:color w:val="000000"/>
                <w:sz w:val="24"/>
                <w:szCs w:val="24"/>
              </w:rPr>
              <w:t>28</w:t>
            </w:r>
          </w:p>
        </w:tc>
        <w:tc>
          <w:tcPr>
            <w:tcW w:w="1480" w:type="dxa"/>
            <w:tcBorders>
              <w:top w:val="nil"/>
              <w:left w:val="nil"/>
              <w:bottom w:val="single" w:sz="4" w:space="0" w:color="auto"/>
              <w:right w:val="single" w:sz="4" w:space="0" w:color="auto"/>
            </w:tcBorders>
            <w:shd w:val="clear" w:color="auto" w:fill="auto"/>
            <w:noWrap/>
            <w:vAlign w:val="center"/>
          </w:tcPr>
          <w:p w:rsidR="002103AF" w:rsidRPr="00AE0294" w:rsidRDefault="002103AF" w:rsidP="002103AF">
            <w:pPr>
              <w:spacing w:after="0" w:line="240" w:lineRule="auto"/>
              <w:jc w:val="center"/>
              <w:rPr>
                <w:rFonts w:cstheme="minorHAnsi"/>
                <w:color w:val="000000"/>
                <w:sz w:val="24"/>
                <w:szCs w:val="24"/>
              </w:rPr>
            </w:pPr>
            <w:r w:rsidRPr="00AE0294">
              <w:rPr>
                <w:rFonts w:cstheme="minorHAnsi"/>
                <w:color w:val="000000"/>
                <w:sz w:val="24"/>
                <w:szCs w:val="24"/>
              </w:rPr>
              <w:t>218</w:t>
            </w:r>
          </w:p>
        </w:tc>
        <w:tc>
          <w:tcPr>
            <w:tcW w:w="960" w:type="dxa"/>
            <w:tcBorders>
              <w:top w:val="nil"/>
              <w:left w:val="nil"/>
              <w:bottom w:val="single" w:sz="4" w:space="0" w:color="auto"/>
              <w:right w:val="single" w:sz="4" w:space="0" w:color="auto"/>
            </w:tcBorders>
            <w:shd w:val="clear" w:color="auto" w:fill="auto"/>
            <w:noWrap/>
            <w:vAlign w:val="center"/>
          </w:tcPr>
          <w:p w:rsidR="002103AF" w:rsidRPr="00AE0294" w:rsidRDefault="002103AF" w:rsidP="002103AF">
            <w:pPr>
              <w:spacing w:after="0" w:line="240" w:lineRule="auto"/>
              <w:jc w:val="center"/>
              <w:rPr>
                <w:rFonts w:cstheme="minorHAnsi"/>
                <w:color w:val="000000"/>
                <w:sz w:val="24"/>
                <w:szCs w:val="24"/>
              </w:rPr>
            </w:pPr>
            <w:r w:rsidRPr="00AE0294">
              <w:rPr>
                <w:rFonts w:cstheme="minorHAnsi"/>
                <w:color w:val="000000"/>
                <w:sz w:val="24"/>
                <w:szCs w:val="24"/>
              </w:rPr>
              <w:t>245</w:t>
            </w:r>
          </w:p>
        </w:tc>
      </w:tr>
      <w:tr w:rsidR="00C11B46" w:rsidRPr="00AE0294" w:rsidTr="002103A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11B46" w:rsidRPr="00AE0294" w:rsidRDefault="00C11B46" w:rsidP="00C11B46">
            <w:pPr>
              <w:spacing w:after="0" w:line="240" w:lineRule="auto"/>
              <w:jc w:val="center"/>
              <w:rPr>
                <w:rFonts w:cstheme="minorHAnsi"/>
                <w:b/>
                <w:iCs/>
                <w:sz w:val="24"/>
                <w:szCs w:val="24"/>
                <w:lang w:eastAsia="en-IN"/>
              </w:rPr>
            </w:pPr>
          </w:p>
        </w:tc>
        <w:tc>
          <w:tcPr>
            <w:tcW w:w="4110" w:type="dxa"/>
            <w:tcBorders>
              <w:top w:val="single" w:sz="4" w:space="0" w:color="auto"/>
              <w:left w:val="nil"/>
              <w:bottom w:val="single" w:sz="4" w:space="0" w:color="auto"/>
              <w:right w:val="single" w:sz="4" w:space="0" w:color="auto"/>
            </w:tcBorders>
            <w:shd w:val="clear" w:color="auto" w:fill="auto"/>
            <w:vAlign w:val="center"/>
          </w:tcPr>
          <w:p w:rsidR="00C11B46" w:rsidRPr="00AE0294" w:rsidRDefault="00C11B46" w:rsidP="00C11B46">
            <w:pPr>
              <w:spacing w:after="0" w:line="240" w:lineRule="auto"/>
              <w:jc w:val="center"/>
              <w:rPr>
                <w:rFonts w:cstheme="minorHAnsi"/>
                <w:b/>
                <w:iCs/>
                <w:sz w:val="24"/>
                <w:szCs w:val="24"/>
                <w:lang w:eastAsia="en-IN"/>
              </w:rPr>
            </w:pPr>
            <w:r w:rsidRPr="00AE0294">
              <w:rPr>
                <w:rFonts w:cstheme="minorHAnsi"/>
                <w:b/>
                <w:iCs/>
                <w:sz w:val="24"/>
                <w:szCs w:val="24"/>
                <w:lang w:eastAsia="en-IN"/>
              </w:rPr>
              <w:t>Total</w:t>
            </w:r>
          </w:p>
        </w:tc>
        <w:tc>
          <w:tcPr>
            <w:tcW w:w="1083" w:type="dxa"/>
            <w:tcBorders>
              <w:top w:val="single" w:sz="4" w:space="0" w:color="auto"/>
              <w:left w:val="nil"/>
              <w:bottom w:val="single" w:sz="4" w:space="0" w:color="auto"/>
              <w:right w:val="single" w:sz="4" w:space="0" w:color="auto"/>
            </w:tcBorders>
            <w:shd w:val="clear" w:color="auto" w:fill="auto"/>
            <w:noWrap/>
            <w:vAlign w:val="center"/>
          </w:tcPr>
          <w:p w:rsidR="00C11B46" w:rsidRPr="00AE0294" w:rsidRDefault="00C11B46" w:rsidP="00C11B46">
            <w:pPr>
              <w:spacing w:after="0" w:line="240" w:lineRule="auto"/>
              <w:jc w:val="center"/>
              <w:rPr>
                <w:rFonts w:cstheme="minorHAnsi"/>
                <w:b/>
                <w:color w:val="000000"/>
                <w:sz w:val="24"/>
                <w:szCs w:val="24"/>
              </w:rPr>
            </w:pPr>
            <w:r w:rsidRPr="00AE0294">
              <w:rPr>
                <w:rFonts w:cstheme="minorHAnsi"/>
                <w:b/>
                <w:bCs/>
                <w:color w:val="000000"/>
                <w:sz w:val="24"/>
                <w:szCs w:val="24"/>
              </w:rPr>
              <w:t>412</w:t>
            </w:r>
          </w:p>
        </w:tc>
        <w:tc>
          <w:tcPr>
            <w:tcW w:w="1480" w:type="dxa"/>
            <w:tcBorders>
              <w:top w:val="single" w:sz="4" w:space="0" w:color="auto"/>
              <w:left w:val="nil"/>
              <w:bottom w:val="single" w:sz="4" w:space="0" w:color="auto"/>
              <w:right w:val="single" w:sz="4" w:space="0" w:color="auto"/>
            </w:tcBorders>
            <w:shd w:val="clear" w:color="auto" w:fill="auto"/>
            <w:noWrap/>
            <w:vAlign w:val="center"/>
          </w:tcPr>
          <w:p w:rsidR="00C11B46" w:rsidRPr="00AE0294" w:rsidRDefault="00C11B46" w:rsidP="00C11B46">
            <w:pPr>
              <w:spacing w:after="0" w:line="240" w:lineRule="auto"/>
              <w:jc w:val="center"/>
              <w:rPr>
                <w:rFonts w:cstheme="minorHAnsi"/>
                <w:b/>
                <w:color w:val="000000"/>
                <w:sz w:val="24"/>
                <w:szCs w:val="24"/>
              </w:rPr>
            </w:pPr>
            <w:r w:rsidRPr="00AE0294">
              <w:rPr>
                <w:rFonts w:cstheme="minorHAnsi"/>
                <w:b/>
                <w:bCs/>
                <w:color w:val="000000"/>
                <w:sz w:val="24"/>
                <w:szCs w:val="24"/>
              </w:rPr>
              <w:t>1421</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C11B46" w:rsidRPr="00AE0294" w:rsidRDefault="00C11B46" w:rsidP="00C11B46">
            <w:pPr>
              <w:spacing w:after="0" w:line="240" w:lineRule="auto"/>
              <w:jc w:val="center"/>
              <w:rPr>
                <w:rFonts w:cstheme="minorHAnsi"/>
                <w:b/>
                <w:color w:val="000000"/>
                <w:sz w:val="24"/>
                <w:szCs w:val="24"/>
              </w:rPr>
            </w:pPr>
            <w:r w:rsidRPr="00AE0294">
              <w:rPr>
                <w:rFonts w:cstheme="minorHAnsi"/>
                <w:b/>
                <w:bCs/>
                <w:color w:val="000000"/>
                <w:sz w:val="24"/>
                <w:szCs w:val="24"/>
              </w:rPr>
              <w:t>1833</w:t>
            </w:r>
          </w:p>
        </w:tc>
      </w:tr>
    </w:tbl>
    <w:p w:rsidR="00967793" w:rsidRPr="00AE0294" w:rsidRDefault="00967793" w:rsidP="007D37C9">
      <w:pPr>
        <w:pStyle w:val="ARRB11"/>
        <w:numPr>
          <w:ilvl w:val="1"/>
          <w:numId w:val="2"/>
        </w:numPr>
        <w:tabs>
          <w:tab w:val="clear" w:pos="1440"/>
        </w:tabs>
        <w:ind w:left="993" w:hanging="993"/>
        <w:rPr>
          <w:szCs w:val="24"/>
          <w:lang w:bidi="te-IN"/>
        </w:rPr>
      </w:pPr>
      <w:r w:rsidRPr="00AE0294">
        <w:rPr>
          <w:szCs w:val="24"/>
          <w:lang w:bidi="te-IN"/>
        </w:rPr>
        <w:t>It is imperative to note that the above issues pertain to past period and each year delay in recognition and allowance of the claims violates principles of tariff determination under Section 61 , 62 and 64 of Electricity Act, 2003 which attracts substantial amount of carrying cost to be borne by the consumer which can be avoided if the claims are allowed to the Petitoner in a timely manner.</w:t>
      </w:r>
    </w:p>
    <w:p w:rsidR="00B01EAF" w:rsidRDefault="00B01EAF" w:rsidP="00B523D9">
      <w:pPr>
        <w:pStyle w:val="Heading1"/>
        <w:rPr>
          <w:rFonts w:cstheme="minorHAnsi"/>
          <w:szCs w:val="24"/>
        </w:rPr>
      </w:pPr>
      <w:bookmarkStart w:id="29" w:name="_Toc120733947"/>
    </w:p>
    <w:p w:rsidR="009B0441" w:rsidRPr="00AE0294" w:rsidRDefault="006812F7" w:rsidP="00B523D9">
      <w:pPr>
        <w:pStyle w:val="Heading1"/>
        <w:rPr>
          <w:rFonts w:cstheme="minorHAnsi"/>
          <w:szCs w:val="24"/>
        </w:rPr>
      </w:pPr>
      <w:r w:rsidRPr="00AE0294">
        <w:rPr>
          <w:rFonts w:cstheme="minorHAnsi"/>
          <w:szCs w:val="24"/>
        </w:rPr>
        <w:t>Category-3</w:t>
      </w:r>
      <w:r w:rsidR="009B0441" w:rsidRPr="00AE0294">
        <w:rPr>
          <w:rFonts w:cstheme="minorHAnsi"/>
          <w:szCs w:val="24"/>
        </w:rPr>
        <w:t>: Impact of Appeals pending adjudication before APTEL</w:t>
      </w:r>
      <w:bookmarkEnd w:id="29"/>
    </w:p>
    <w:p w:rsidR="009B0441" w:rsidRPr="00AE0294" w:rsidRDefault="009B0441" w:rsidP="007D37C9">
      <w:pPr>
        <w:pStyle w:val="ARRB11"/>
        <w:numPr>
          <w:ilvl w:val="1"/>
          <w:numId w:val="2"/>
        </w:numPr>
        <w:tabs>
          <w:tab w:val="clear" w:pos="1440"/>
        </w:tabs>
        <w:ind w:left="993" w:hanging="993"/>
        <w:rPr>
          <w:szCs w:val="24"/>
        </w:rPr>
      </w:pPr>
      <w:r w:rsidRPr="00AE0294">
        <w:rPr>
          <w:szCs w:val="24"/>
        </w:rPr>
        <w:t>The Petitioner has preferred appeals against respective Tariff Orders issued by the Hon’ble Commission which are pending adjudication before Hon’ble APTEL. The details of the Appeals are tabulated below:</w:t>
      </w:r>
    </w:p>
    <w:p w:rsidR="009B0441" w:rsidRPr="00AE0294" w:rsidRDefault="009B0441" w:rsidP="007A3406">
      <w:pPr>
        <w:pStyle w:val="TableFigureARR"/>
        <w:spacing w:after="0"/>
        <w:ind w:left="629" w:firstLine="357"/>
        <w:rPr>
          <w:rFonts w:cstheme="minorHAnsi"/>
          <w:i w:val="0"/>
          <w:color w:val="auto"/>
          <w:sz w:val="24"/>
          <w:szCs w:val="24"/>
        </w:rPr>
      </w:pPr>
      <w:bookmarkStart w:id="30" w:name="_Toc120734121"/>
      <w:r w:rsidRPr="00AE0294">
        <w:rPr>
          <w:rFonts w:cstheme="minorHAnsi"/>
          <w:i w:val="0"/>
          <w:color w:val="auto"/>
          <w:sz w:val="24"/>
          <w:szCs w:val="24"/>
          <w:lang w:val="en-US"/>
        </w:rPr>
        <w:t xml:space="preserve">Table 3B </w:t>
      </w:r>
      <w:r w:rsidR="00BC0EFD" w:rsidRPr="00AE0294">
        <w:rPr>
          <w:rFonts w:cstheme="minorHAnsi"/>
          <w:i w:val="0"/>
          <w:color w:val="auto"/>
          <w:sz w:val="24"/>
          <w:szCs w:val="24"/>
          <w:lang w:val="en-US"/>
        </w:rPr>
        <w:fldChar w:fldCharType="begin"/>
      </w:r>
      <w:r w:rsidRPr="00AE0294">
        <w:rPr>
          <w:rFonts w:cstheme="minorHAnsi"/>
          <w:i w:val="0"/>
          <w:color w:val="auto"/>
          <w:sz w:val="24"/>
          <w:szCs w:val="24"/>
          <w:lang w:val="en-US"/>
        </w:rPr>
        <w:instrText xml:space="preserve"> SEQ Table_3B \* ARABIC </w:instrText>
      </w:r>
      <w:r w:rsidR="00BC0EFD" w:rsidRPr="00AE0294">
        <w:rPr>
          <w:rFonts w:cstheme="minorHAnsi"/>
          <w:i w:val="0"/>
          <w:color w:val="auto"/>
          <w:sz w:val="24"/>
          <w:szCs w:val="24"/>
          <w:lang w:val="en-US"/>
        </w:rPr>
        <w:fldChar w:fldCharType="separate"/>
      </w:r>
      <w:r w:rsidR="006D2E03">
        <w:rPr>
          <w:rFonts w:cstheme="minorHAnsi"/>
          <w:i w:val="0"/>
          <w:noProof/>
          <w:color w:val="auto"/>
          <w:sz w:val="24"/>
          <w:szCs w:val="24"/>
          <w:lang w:val="en-US"/>
        </w:rPr>
        <w:t>13</w:t>
      </w:r>
      <w:r w:rsidR="00BC0EFD" w:rsidRPr="00AE0294">
        <w:rPr>
          <w:rFonts w:cstheme="minorHAnsi"/>
          <w:i w:val="0"/>
          <w:color w:val="auto"/>
          <w:sz w:val="24"/>
          <w:szCs w:val="24"/>
        </w:rPr>
        <w:fldChar w:fldCharType="end"/>
      </w:r>
      <w:r w:rsidRPr="00AE0294">
        <w:rPr>
          <w:rFonts w:cstheme="minorHAnsi"/>
          <w:i w:val="0"/>
          <w:color w:val="auto"/>
          <w:sz w:val="24"/>
          <w:szCs w:val="24"/>
        </w:rPr>
        <w:t>: Appeals pending before Hon’ble APTEL</w:t>
      </w:r>
      <w:bookmarkEnd w:id="30"/>
    </w:p>
    <w:tbl>
      <w:tblPr>
        <w:tblW w:w="8806"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827"/>
        <w:gridCol w:w="3017"/>
        <w:gridCol w:w="2563"/>
        <w:gridCol w:w="2399"/>
      </w:tblGrid>
      <w:tr w:rsidR="009B0441" w:rsidRPr="00AE0294" w:rsidTr="00895B28">
        <w:trPr>
          <w:trHeight w:val="300"/>
          <w:tblHeader/>
        </w:trPr>
        <w:tc>
          <w:tcPr>
            <w:tcW w:w="827" w:type="dxa"/>
            <w:shd w:val="clear" w:color="auto" w:fill="FFFFFF" w:themeFill="background1"/>
            <w:noWrap/>
            <w:vAlign w:val="bottom"/>
            <w:hideMark/>
          </w:tcPr>
          <w:p w:rsidR="009B0441" w:rsidRPr="00AE0294" w:rsidRDefault="009B0441" w:rsidP="00895B28">
            <w:pPr>
              <w:spacing w:after="0" w:line="276" w:lineRule="auto"/>
              <w:jc w:val="center"/>
              <w:rPr>
                <w:rFonts w:cstheme="minorHAnsi"/>
                <w:b/>
                <w:sz w:val="24"/>
                <w:szCs w:val="24"/>
              </w:rPr>
            </w:pPr>
            <w:r w:rsidRPr="00AE0294">
              <w:rPr>
                <w:rFonts w:eastAsia="Times New Roman" w:cstheme="minorHAnsi"/>
                <w:b/>
                <w:sz w:val="24"/>
                <w:szCs w:val="24"/>
                <w:lang w:val="en-US"/>
              </w:rPr>
              <w:t>S. No</w:t>
            </w:r>
          </w:p>
        </w:tc>
        <w:tc>
          <w:tcPr>
            <w:tcW w:w="3017" w:type="dxa"/>
            <w:shd w:val="clear" w:color="auto" w:fill="FFFFFF" w:themeFill="background1"/>
            <w:noWrap/>
            <w:vAlign w:val="bottom"/>
            <w:hideMark/>
          </w:tcPr>
          <w:p w:rsidR="009B0441" w:rsidRPr="00AE0294" w:rsidRDefault="009B0441" w:rsidP="00895B28">
            <w:pPr>
              <w:spacing w:after="0" w:line="276" w:lineRule="auto"/>
              <w:rPr>
                <w:rFonts w:cstheme="minorHAnsi"/>
                <w:b/>
                <w:sz w:val="24"/>
                <w:szCs w:val="24"/>
              </w:rPr>
            </w:pPr>
            <w:r w:rsidRPr="00AE0294">
              <w:rPr>
                <w:rFonts w:eastAsia="Times New Roman" w:cstheme="minorHAnsi"/>
                <w:b/>
                <w:sz w:val="24"/>
                <w:szCs w:val="24"/>
                <w:lang w:val="en-US"/>
              </w:rPr>
              <w:t>Years in subject</w:t>
            </w:r>
          </w:p>
        </w:tc>
        <w:tc>
          <w:tcPr>
            <w:tcW w:w="2563" w:type="dxa"/>
            <w:shd w:val="clear" w:color="auto" w:fill="FFFFFF" w:themeFill="background1"/>
            <w:noWrap/>
            <w:vAlign w:val="center"/>
            <w:hideMark/>
          </w:tcPr>
          <w:p w:rsidR="009B0441" w:rsidRPr="00AE0294" w:rsidRDefault="009B0441" w:rsidP="00895B28">
            <w:pPr>
              <w:spacing w:after="0" w:line="276" w:lineRule="auto"/>
              <w:jc w:val="center"/>
              <w:rPr>
                <w:rFonts w:cstheme="minorHAnsi"/>
                <w:b/>
                <w:sz w:val="24"/>
                <w:szCs w:val="24"/>
              </w:rPr>
            </w:pPr>
            <w:r w:rsidRPr="00AE0294">
              <w:rPr>
                <w:rFonts w:cstheme="minorHAnsi"/>
                <w:b/>
                <w:sz w:val="24"/>
                <w:szCs w:val="24"/>
              </w:rPr>
              <w:t>Date of Tariff Order</w:t>
            </w:r>
          </w:p>
        </w:tc>
        <w:tc>
          <w:tcPr>
            <w:tcW w:w="2399" w:type="dxa"/>
            <w:shd w:val="clear" w:color="auto" w:fill="FFFFFF" w:themeFill="background1"/>
            <w:noWrap/>
            <w:vAlign w:val="center"/>
            <w:hideMark/>
          </w:tcPr>
          <w:p w:rsidR="009B0441" w:rsidRPr="00AE0294" w:rsidRDefault="009B0441" w:rsidP="00895B28">
            <w:pPr>
              <w:spacing w:after="0" w:line="276" w:lineRule="auto"/>
              <w:jc w:val="center"/>
              <w:rPr>
                <w:rFonts w:cstheme="minorHAnsi"/>
                <w:b/>
                <w:sz w:val="24"/>
                <w:szCs w:val="24"/>
              </w:rPr>
            </w:pPr>
            <w:r w:rsidRPr="00AE0294">
              <w:rPr>
                <w:rFonts w:cstheme="minorHAnsi"/>
                <w:b/>
                <w:sz w:val="24"/>
                <w:szCs w:val="24"/>
              </w:rPr>
              <w:t>Appeal Number</w:t>
            </w:r>
          </w:p>
        </w:tc>
      </w:tr>
      <w:tr w:rsidR="009B0441" w:rsidRPr="00AE0294" w:rsidTr="00895B28">
        <w:trPr>
          <w:trHeight w:val="300"/>
        </w:trPr>
        <w:tc>
          <w:tcPr>
            <w:tcW w:w="827" w:type="dxa"/>
            <w:shd w:val="clear" w:color="auto" w:fill="FFFFFF" w:themeFill="background1"/>
            <w:noWrap/>
            <w:vAlign w:val="center"/>
            <w:hideMark/>
          </w:tcPr>
          <w:p w:rsidR="009B0441" w:rsidRPr="00AE0294" w:rsidRDefault="009B0441" w:rsidP="00895B28">
            <w:pPr>
              <w:spacing w:after="0" w:line="276" w:lineRule="auto"/>
              <w:jc w:val="center"/>
              <w:rPr>
                <w:rFonts w:cstheme="minorHAnsi"/>
                <w:sz w:val="24"/>
                <w:szCs w:val="24"/>
              </w:rPr>
            </w:pPr>
            <w:r w:rsidRPr="00AE0294">
              <w:rPr>
                <w:rFonts w:cstheme="minorHAnsi"/>
                <w:sz w:val="24"/>
                <w:szCs w:val="24"/>
              </w:rPr>
              <w:t>1</w:t>
            </w:r>
          </w:p>
        </w:tc>
        <w:tc>
          <w:tcPr>
            <w:tcW w:w="3017" w:type="dxa"/>
            <w:shd w:val="clear" w:color="auto" w:fill="FFFFFF" w:themeFill="background1"/>
            <w:noWrap/>
            <w:vAlign w:val="bottom"/>
            <w:hideMark/>
          </w:tcPr>
          <w:p w:rsidR="009B0441" w:rsidRPr="00AE0294" w:rsidRDefault="009B0441" w:rsidP="00895B28">
            <w:pPr>
              <w:spacing w:after="0" w:line="276" w:lineRule="auto"/>
              <w:rPr>
                <w:rFonts w:cstheme="minorHAnsi"/>
                <w:sz w:val="24"/>
                <w:szCs w:val="24"/>
              </w:rPr>
            </w:pPr>
            <w:r w:rsidRPr="00AE0294">
              <w:rPr>
                <w:rFonts w:cstheme="minorHAnsi"/>
                <w:sz w:val="24"/>
                <w:szCs w:val="24"/>
              </w:rPr>
              <w:t>Truing-up of FY 12 and ARR and Tariff of FY 14</w:t>
            </w:r>
          </w:p>
        </w:tc>
        <w:tc>
          <w:tcPr>
            <w:tcW w:w="2563" w:type="dxa"/>
            <w:shd w:val="clear" w:color="auto" w:fill="FFFFFF" w:themeFill="background1"/>
            <w:noWrap/>
            <w:vAlign w:val="center"/>
            <w:hideMark/>
          </w:tcPr>
          <w:p w:rsidR="009B0441" w:rsidRPr="00AE0294" w:rsidRDefault="009B0441" w:rsidP="00895B28">
            <w:pPr>
              <w:spacing w:after="0" w:line="276" w:lineRule="auto"/>
              <w:jc w:val="center"/>
              <w:rPr>
                <w:rFonts w:cstheme="minorHAnsi"/>
                <w:sz w:val="24"/>
                <w:szCs w:val="24"/>
              </w:rPr>
            </w:pPr>
            <w:r w:rsidRPr="00AE0294">
              <w:rPr>
                <w:rFonts w:cstheme="minorHAnsi"/>
                <w:sz w:val="24"/>
                <w:szCs w:val="24"/>
              </w:rPr>
              <w:t>31.07.2013</w:t>
            </w:r>
          </w:p>
        </w:tc>
        <w:tc>
          <w:tcPr>
            <w:tcW w:w="2399" w:type="dxa"/>
            <w:shd w:val="clear" w:color="auto" w:fill="FFFFFF" w:themeFill="background1"/>
            <w:noWrap/>
            <w:vAlign w:val="center"/>
            <w:hideMark/>
          </w:tcPr>
          <w:p w:rsidR="009B0441" w:rsidRPr="00AE0294" w:rsidRDefault="009B0441" w:rsidP="00895B28">
            <w:pPr>
              <w:spacing w:after="0" w:line="276" w:lineRule="auto"/>
              <w:jc w:val="center"/>
              <w:rPr>
                <w:rFonts w:cstheme="minorHAnsi"/>
                <w:sz w:val="24"/>
                <w:szCs w:val="24"/>
              </w:rPr>
            </w:pPr>
            <w:r w:rsidRPr="00AE0294">
              <w:rPr>
                <w:rFonts w:cstheme="minorHAnsi"/>
                <w:sz w:val="24"/>
                <w:szCs w:val="24"/>
              </w:rPr>
              <w:t>265</w:t>
            </w:r>
            <w:r w:rsidR="00B25700">
              <w:rPr>
                <w:rFonts w:cstheme="minorHAnsi"/>
                <w:sz w:val="24"/>
                <w:szCs w:val="24"/>
              </w:rPr>
              <w:t xml:space="preserve"> </w:t>
            </w:r>
            <w:r w:rsidRPr="00AE0294">
              <w:rPr>
                <w:rFonts w:cstheme="minorHAnsi"/>
                <w:sz w:val="24"/>
                <w:szCs w:val="24"/>
              </w:rPr>
              <w:t>of 2013</w:t>
            </w:r>
          </w:p>
        </w:tc>
      </w:tr>
      <w:tr w:rsidR="009B0441" w:rsidRPr="00AE0294" w:rsidTr="00895B28">
        <w:trPr>
          <w:trHeight w:val="300"/>
        </w:trPr>
        <w:tc>
          <w:tcPr>
            <w:tcW w:w="827" w:type="dxa"/>
            <w:shd w:val="clear" w:color="auto" w:fill="FFFFFF" w:themeFill="background1"/>
            <w:noWrap/>
            <w:vAlign w:val="center"/>
            <w:hideMark/>
          </w:tcPr>
          <w:p w:rsidR="009B0441" w:rsidRPr="00AE0294" w:rsidRDefault="009B0441" w:rsidP="00895B28">
            <w:pPr>
              <w:spacing w:after="0" w:line="276" w:lineRule="auto"/>
              <w:jc w:val="center"/>
              <w:rPr>
                <w:rFonts w:cstheme="minorHAnsi"/>
                <w:sz w:val="24"/>
                <w:szCs w:val="24"/>
              </w:rPr>
            </w:pPr>
            <w:r w:rsidRPr="00AE0294">
              <w:rPr>
                <w:rFonts w:cstheme="minorHAnsi"/>
                <w:sz w:val="24"/>
                <w:szCs w:val="24"/>
              </w:rPr>
              <w:t>2</w:t>
            </w:r>
          </w:p>
        </w:tc>
        <w:tc>
          <w:tcPr>
            <w:tcW w:w="3017" w:type="dxa"/>
            <w:shd w:val="clear" w:color="auto" w:fill="FFFFFF" w:themeFill="background1"/>
            <w:noWrap/>
            <w:vAlign w:val="bottom"/>
            <w:hideMark/>
          </w:tcPr>
          <w:p w:rsidR="009B0441" w:rsidRPr="00AE0294" w:rsidRDefault="009B0441" w:rsidP="00895B28">
            <w:pPr>
              <w:spacing w:after="0" w:line="276" w:lineRule="auto"/>
              <w:rPr>
                <w:rFonts w:cstheme="minorHAnsi"/>
                <w:sz w:val="24"/>
                <w:szCs w:val="24"/>
              </w:rPr>
            </w:pPr>
            <w:r w:rsidRPr="00AE0294">
              <w:rPr>
                <w:rFonts w:cstheme="minorHAnsi"/>
                <w:sz w:val="24"/>
                <w:szCs w:val="24"/>
              </w:rPr>
              <w:t> Truing-up of FY 13 and ARR and Tariff of FY 15</w:t>
            </w:r>
          </w:p>
        </w:tc>
        <w:tc>
          <w:tcPr>
            <w:tcW w:w="2563" w:type="dxa"/>
            <w:shd w:val="clear" w:color="auto" w:fill="FFFFFF" w:themeFill="background1"/>
            <w:noWrap/>
            <w:vAlign w:val="center"/>
            <w:hideMark/>
          </w:tcPr>
          <w:p w:rsidR="009B0441" w:rsidRPr="00AE0294" w:rsidRDefault="009B0441" w:rsidP="00895B28">
            <w:pPr>
              <w:spacing w:after="0" w:line="276" w:lineRule="auto"/>
              <w:jc w:val="center"/>
              <w:rPr>
                <w:rFonts w:cstheme="minorHAnsi"/>
                <w:sz w:val="24"/>
                <w:szCs w:val="24"/>
              </w:rPr>
            </w:pPr>
            <w:r w:rsidRPr="00AE0294">
              <w:rPr>
                <w:rFonts w:cstheme="minorHAnsi"/>
                <w:sz w:val="24"/>
                <w:szCs w:val="24"/>
              </w:rPr>
              <w:t>23.07.2014</w:t>
            </w:r>
          </w:p>
        </w:tc>
        <w:tc>
          <w:tcPr>
            <w:tcW w:w="2399" w:type="dxa"/>
            <w:shd w:val="clear" w:color="auto" w:fill="FFFFFF" w:themeFill="background1"/>
            <w:noWrap/>
            <w:vAlign w:val="center"/>
            <w:hideMark/>
          </w:tcPr>
          <w:p w:rsidR="009B0441" w:rsidRPr="00AE0294" w:rsidRDefault="009B0441" w:rsidP="00895B28">
            <w:pPr>
              <w:spacing w:after="0" w:line="276" w:lineRule="auto"/>
              <w:jc w:val="center"/>
              <w:rPr>
                <w:rFonts w:cstheme="minorHAnsi"/>
                <w:sz w:val="24"/>
                <w:szCs w:val="24"/>
              </w:rPr>
            </w:pPr>
            <w:r w:rsidRPr="00AE0294">
              <w:rPr>
                <w:rFonts w:cstheme="minorHAnsi"/>
                <w:sz w:val="24"/>
                <w:szCs w:val="24"/>
              </w:rPr>
              <w:t>236 of 2014</w:t>
            </w:r>
          </w:p>
        </w:tc>
      </w:tr>
      <w:tr w:rsidR="009B0441" w:rsidRPr="00AE0294" w:rsidTr="00895B28">
        <w:trPr>
          <w:trHeight w:val="300"/>
        </w:trPr>
        <w:tc>
          <w:tcPr>
            <w:tcW w:w="827" w:type="dxa"/>
            <w:shd w:val="clear" w:color="auto" w:fill="FFFFFF" w:themeFill="background1"/>
            <w:noWrap/>
            <w:vAlign w:val="center"/>
            <w:hideMark/>
          </w:tcPr>
          <w:p w:rsidR="009B0441" w:rsidRPr="00AE0294" w:rsidRDefault="009B0441" w:rsidP="00895B28">
            <w:pPr>
              <w:spacing w:after="0" w:line="276" w:lineRule="auto"/>
              <w:jc w:val="center"/>
              <w:rPr>
                <w:rFonts w:cstheme="minorHAnsi"/>
                <w:sz w:val="24"/>
                <w:szCs w:val="24"/>
              </w:rPr>
            </w:pPr>
            <w:r w:rsidRPr="00AE0294">
              <w:rPr>
                <w:rFonts w:cstheme="minorHAnsi"/>
                <w:sz w:val="24"/>
                <w:szCs w:val="24"/>
              </w:rPr>
              <w:lastRenderedPageBreak/>
              <w:t>3</w:t>
            </w:r>
          </w:p>
        </w:tc>
        <w:tc>
          <w:tcPr>
            <w:tcW w:w="3017" w:type="dxa"/>
            <w:shd w:val="clear" w:color="auto" w:fill="FFFFFF" w:themeFill="background1"/>
            <w:noWrap/>
            <w:vAlign w:val="bottom"/>
            <w:hideMark/>
          </w:tcPr>
          <w:p w:rsidR="009B0441" w:rsidRPr="00AE0294" w:rsidRDefault="009B0441" w:rsidP="00895B28">
            <w:pPr>
              <w:spacing w:after="0" w:line="276" w:lineRule="auto"/>
              <w:rPr>
                <w:rFonts w:cstheme="minorHAnsi"/>
                <w:sz w:val="24"/>
                <w:szCs w:val="24"/>
              </w:rPr>
            </w:pPr>
            <w:r w:rsidRPr="00AE0294">
              <w:rPr>
                <w:rFonts w:cstheme="minorHAnsi"/>
                <w:sz w:val="24"/>
                <w:szCs w:val="24"/>
              </w:rPr>
              <w:t> Truing-up of FY 14 and ARR and Tariff of FY 16</w:t>
            </w:r>
          </w:p>
        </w:tc>
        <w:tc>
          <w:tcPr>
            <w:tcW w:w="2563" w:type="dxa"/>
            <w:shd w:val="clear" w:color="auto" w:fill="FFFFFF" w:themeFill="background1"/>
            <w:noWrap/>
            <w:vAlign w:val="center"/>
            <w:hideMark/>
          </w:tcPr>
          <w:p w:rsidR="009B0441" w:rsidRPr="00AE0294" w:rsidRDefault="009B0441" w:rsidP="00895B28">
            <w:pPr>
              <w:spacing w:after="0" w:line="276" w:lineRule="auto"/>
              <w:jc w:val="center"/>
              <w:rPr>
                <w:rFonts w:cstheme="minorHAnsi"/>
                <w:sz w:val="24"/>
                <w:szCs w:val="24"/>
              </w:rPr>
            </w:pPr>
            <w:r w:rsidRPr="00AE0294">
              <w:rPr>
                <w:rFonts w:cstheme="minorHAnsi"/>
                <w:sz w:val="24"/>
                <w:szCs w:val="24"/>
              </w:rPr>
              <w:t>29.09.2015</w:t>
            </w:r>
          </w:p>
        </w:tc>
        <w:tc>
          <w:tcPr>
            <w:tcW w:w="2399" w:type="dxa"/>
            <w:shd w:val="clear" w:color="auto" w:fill="FFFFFF" w:themeFill="background1"/>
            <w:noWrap/>
            <w:vAlign w:val="center"/>
            <w:hideMark/>
          </w:tcPr>
          <w:p w:rsidR="009B0441" w:rsidRPr="00AE0294" w:rsidRDefault="009B0441" w:rsidP="00895B28">
            <w:pPr>
              <w:spacing w:after="0" w:line="276" w:lineRule="auto"/>
              <w:jc w:val="center"/>
              <w:rPr>
                <w:rFonts w:cstheme="minorHAnsi"/>
                <w:sz w:val="24"/>
                <w:szCs w:val="24"/>
              </w:rPr>
            </w:pPr>
            <w:r w:rsidRPr="00AE0294">
              <w:rPr>
                <w:rFonts w:cstheme="minorHAnsi"/>
                <w:sz w:val="24"/>
                <w:szCs w:val="24"/>
              </w:rPr>
              <w:t>290 of 2015</w:t>
            </w:r>
          </w:p>
        </w:tc>
      </w:tr>
      <w:tr w:rsidR="009B0441" w:rsidRPr="00AE0294" w:rsidTr="00895B28">
        <w:trPr>
          <w:trHeight w:val="300"/>
        </w:trPr>
        <w:tc>
          <w:tcPr>
            <w:tcW w:w="827" w:type="dxa"/>
            <w:shd w:val="clear" w:color="auto" w:fill="FFFFFF" w:themeFill="background1"/>
            <w:noWrap/>
            <w:vAlign w:val="center"/>
            <w:hideMark/>
          </w:tcPr>
          <w:p w:rsidR="009B0441" w:rsidRPr="00AE0294" w:rsidRDefault="009B0441" w:rsidP="00895B28">
            <w:pPr>
              <w:spacing w:after="0" w:line="276" w:lineRule="auto"/>
              <w:jc w:val="center"/>
              <w:rPr>
                <w:rFonts w:cstheme="minorHAnsi"/>
                <w:sz w:val="24"/>
                <w:szCs w:val="24"/>
              </w:rPr>
            </w:pPr>
            <w:r w:rsidRPr="00AE0294">
              <w:rPr>
                <w:rFonts w:cstheme="minorHAnsi"/>
                <w:sz w:val="24"/>
                <w:szCs w:val="24"/>
              </w:rPr>
              <w:t>4</w:t>
            </w:r>
          </w:p>
        </w:tc>
        <w:tc>
          <w:tcPr>
            <w:tcW w:w="3017" w:type="dxa"/>
            <w:shd w:val="clear" w:color="auto" w:fill="FFFFFF" w:themeFill="background1"/>
            <w:noWrap/>
            <w:vAlign w:val="bottom"/>
            <w:hideMark/>
          </w:tcPr>
          <w:p w:rsidR="009B0441" w:rsidRPr="00AE0294" w:rsidRDefault="009B0441" w:rsidP="00895B28">
            <w:pPr>
              <w:spacing w:after="0" w:line="276" w:lineRule="auto"/>
              <w:rPr>
                <w:rFonts w:cstheme="minorHAnsi"/>
                <w:sz w:val="24"/>
                <w:szCs w:val="24"/>
              </w:rPr>
            </w:pPr>
            <w:r w:rsidRPr="00AE0294">
              <w:rPr>
                <w:rFonts w:cstheme="minorHAnsi"/>
                <w:sz w:val="24"/>
                <w:szCs w:val="24"/>
              </w:rPr>
              <w:t> Truing-up of FY 15 and FY 16 and ARR and Tariff of FY 18</w:t>
            </w:r>
          </w:p>
        </w:tc>
        <w:tc>
          <w:tcPr>
            <w:tcW w:w="2563" w:type="dxa"/>
            <w:shd w:val="clear" w:color="auto" w:fill="FFFFFF" w:themeFill="background1"/>
            <w:noWrap/>
            <w:vAlign w:val="center"/>
            <w:hideMark/>
          </w:tcPr>
          <w:p w:rsidR="009B0441" w:rsidRPr="00AE0294" w:rsidRDefault="009B0441" w:rsidP="00895B28">
            <w:pPr>
              <w:spacing w:after="0" w:line="276" w:lineRule="auto"/>
              <w:jc w:val="center"/>
              <w:rPr>
                <w:rFonts w:cstheme="minorHAnsi"/>
                <w:sz w:val="24"/>
                <w:szCs w:val="24"/>
              </w:rPr>
            </w:pPr>
            <w:r w:rsidRPr="00AE0294">
              <w:rPr>
                <w:rFonts w:cstheme="minorHAnsi"/>
                <w:sz w:val="24"/>
                <w:szCs w:val="24"/>
              </w:rPr>
              <w:t>31.08.2017</w:t>
            </w:r>
          </w:p>
        </w:tc>
        <w:tc>
          <w:tcPr>
            <w:tcW w:w="2399" w:type="dxa"/>
            <w:shd w:val="clear" w:color="auto" w:fill="FFFFFF" w:themeFill="background1"/>
            <w:noWrap/>
            <w:vAlign w:val="center"/>
            <w:hideMark/>
          </w:tcPr>
          <w:p w:rsidR="009B0441" w:rsidRPr="00AE0294" w:rsidRDefault="009B0441" w:rsidP="00895B28">
            <w:pPr>
              <w:spacing w:after="0" w:line="276" w:lineRule="auto"/>
              <w:jc w:val="center"/>
              <w:rPr>
                <w:rFonts w:cstheme="minorHAnsi"/>
                <w:sz w:val="24"/>
                <w:szCs w:val="24"/>
              </w:rPr>
            </w:pPr>
            <w:r w:rsidRPr="00AE0294">
              <w:rPr>
                <w:rFonts w:cstheme="minorHAnsi"/>
                <w:sz w:val="24"/>
                <w:szCs w:val="24"/>
              </w:rPr>
              <w:t>70</w:t>
            </w:r>
            <w:r w:rsidR="00B25700">
              <w:rPr>
                <w:rFonts w:cstheme="minorHAnsi"/>
                <w:sz w:val="24"/>
                <w:szCs w:val="24"/>
              </w:rPr>
              <w:t xml:space="preserve"> </w:t>
            </w:r>
            <w:r w:rsidRPr="00AE0294">
              <w:rPr>
                <w:rFonts w:cstheme="minorHAnsi"/>
                <w:sz w:val="24"/>
                <w:szCs w:val="24"/>
              </w:rPr>
              <w:t>&amp; 71 of 2018</w:t>
            </w:r>
          </w:p>
        </w:tc>
      </w:tr>
      <w:tr w:rsidR="009B0441" w:rsidRPr="00AE0294" w:rsidTr="00895B28">
        <w:trPr>
          <w:trHeight w:val="300"/>
        </w:trPr>
        <w:tc>
          <w:tcPr>
            <w:tcW w:w="827" w:type="dxa"/>
            <w:shd w:val="clear" w:color="auto" w:fill="FFFFFF" w:themeFill="background1"/>
            <w:noWrap/>
            <w:vAlign w:val="center"/>
            <w:hideMark/>
          </w:tcPr>
          <w:p w:rsidR="009B0441" w:rsidRPr="00AE0294" w:rsidRDefault="009B0441" w:rsidP="00895B28">
            <w:pPr>
              <w:spacing w:after="0" w:line="276" w:lineRule="auto"/>
              <w:jc w:val="center"/>
              <w:rPr>
                <w:rFonts w:cstheme="minorHAnsi"/>
                <w:sz w:val="24"/>
                <w:szCs w:val="24"/>
              </w:rPr>
            </w:pPr>
            <w:r w:rsidRPr="00AE0294">
              <w:rPr>
                <w:rFonts w:cstheme="minorHAnsi"/>
                <w:sz w:val="24"/>
                <w:szCs w:val="24"/>
              </w:rPr>
              <w:t>5</w:t>
            </w:r>
          </w:p>
        </w:tc>
        <w:tc>
          <w:tcPr>
            <w:tcW w:w="3017" w:type="dxa"/>
            <w:shd w:val="clear" w:color="auto" w:fill="FFFFFF" w:themeFill="background1"/>
            <w:noWrap/>
            <w:vAlign w:val="center"/>
            <w:hideMark/>
          </w:tcPr>
          <w:p w:rsidR="009B0441" w:rsidRPr="00AE0294" w:rsidRDefault="009B0441" w:rsidP="00895B28">
            <w:pPr>
              <w:spacing w:after="0" w:line="276" w:lineRule="auto"/>
              <w:rPr>
                <w:rFonts w:cstheme="minorHAnsi"/>
                <w:sz w:val="24"/>
                <w:szCs w:val="24"/>
              </w:rPr>
            </w:pPr>
            <w:r w:rsidRPr="00AE0294">
              <w:rPr>
                <w:rFonts w:cstheme="minorHAnsi"/>
                <w:sz w:val="24"/>
                <w:szCs w:val="24"/>
              </w:rPr>
              <w:t> Truing-up of FY 17 and ARR and Tariff of FY 19</w:t>
            </w:r>
          </w:p>
        </w:tc>
        <w:tc>
          <w:tcPr>
            <w:tcW w:w="2563" w:type="dxa"/>
            <w:shd w:val="clear" w:color="auto" w:fill="FFFFFF" w:themeFill="background1"/>
            <w:noWrap/>
            <w:vAlign w:val="center"/>
            <w:hideMark/>
          </w:tcPr>
          <w:p w:rsidR="009B0441" w:rsidRPr="00AE0294" w:rsidRDefault="009B0441" w:rsidP="00895B28">
            <w:pPr>
              <w:spacing w:after="0" w:line="276" w:lineRule="auto"/>
              <w:jc w:val="center"/>
              <w:rPr>
                <w:rFonts w:cstheme="minorHAnsi"/>
                <w:sz w:val="24"/>
                <w:szCs w:val="24"/>
              </w:rPr>
            </w:pPr>
            <w:r w:rsidRPr="00AE0294">
              <w:rPr>
                <w:rFonts w:cstheme="minorHAnsi"/>
                <w:sz w:val="24"/>
                <w:szCs w:val="24"/>
              </w:rPr>
              <w:t>28.03.2018</w:t>
            </w:r>
          </w:p>
        </w:tc>
        <w:tc>
          <w:tcPr>
            <w:tcW w:w="2399" w:type="dxa"/>
            <w:shd w:val="clear" w:color="auto" w:fill="FFFFFF" w:themeFill="background1"/>
            <w:noWrap/>
            <w:vAlign w:val="center"/>
            <w:hideMark/>
          </w:tcPr>
          <w:p w:rsidR="009B0441" w:rsidRPr="00AE0294" w:rsidRDefault="009B0441" w:rsidP="00895B28">
            <w:pPr>
              <w:spacing w:after="0" w:line="276" w:lineRule="auto"/>
              <w:jc w:val="center"/>
              <w:rPr>
                <w:rFonts w:cstheme="minorHAnsi"/>
                <w:sz w:val="24"/>
                <w:szCs w:val="24"/>
              </w:rPr>
            </w:pPr>
            <w:r w:rsidRPr="00AE0294">
              <w:rPr>
                <w:rFonts w:cstheme="minorHAnsi"/>
                <w:sz w:val="24"/>
                <w:szCs w:val="24"/>
              </w:rPr>
              <w:t>214 of 2018</w:t>
            </w:r>
          </w:p>
        </w:tc>
      </w:tr>
      <w:tr w:rsidR="009B0441" w:rsidRPr="00AE0294" w:rsidTr="00895B28">
        <w:trPr>
          <w:trHeight w:val="300"/>
        </w:trPr>
        <w:tc>
          <w:tcPr>
            <w:tcW w:w="827" w:type="dxa"/>
            <w:shd w:val="clear" w:color="auto" w:fill="FFFFFF" w:themeFill="background1"/>
            <w:noWrap/>
            <w:vAlign w:val="center"/>
            <w:hideMark/>
          </w:tcPr>
          <w:p w:rsidR="009B0441" w:rsidRPr="00AE0294" w:rsidRDefault="009B0441" w:rsidP="00895B28">
            <w:pPr>
              <w:spacing w:after="0" w:line="276" w:lineRule="auto"/>
              <w:jc w:val="center"/>
              <w:rPr>
                <w:rFonts w:cstheme="minorHAnsi"/>
                <w:sz w:val="24"/>
                <w:szCs w:val="24"/>
              </w:rPr>
            </w:pPr>
            <w:r w:rsidRPr="00AE0294">
              <w:rPr>
                <w:rFonts w:cstheme="minorHAnsi"/>
                <w:sz w:val="24"/>
                <w:szCs w:val="24"/>
              </w:rPr>
              <w:t>6</w:t>
            </w:r>
          </w:p>
        </w:tc>
        <w:tc>
          <w:tcPr>
            <w:tcW w:w="3017" w:type="dxa"/>
            <w:shd w:val="clear" w:color="auto" w:fill="FFFFFF" w:themeFill="background1"/>
            <w:noWrap/>
            <w:vAlign w:val="center"/>
            <w:hideMark/>
          </w:tcPr>
          <w:p w:rsidR="009B0441" w:rsidRPr="00AE0294" w:rsidRDefault="009B0441" w:rsidP="00895B28">
            <w:pPr>
              <w:spacing w:after="0" w:line="276" w:lineRule="auto"/>
              <w:rPr>
                <w:rFonts w:cstheme="minorHAnsi"/>
                <w:sz w:val="24"/>
                <w:szCs w:val="24"/>
              </w:rPr>
            </w:pPr>
            <w:r w:rsidRPr="00AE0294">
              <w:rPr>
                <w:rFonts w:cstheme="minorHAnsi"/>
                <w:sz w:val="24"/>
                <w:szCs w:val="24"/>
              </w:rPr>
              <w:t> Truing-up of FY 18 and ARR and Tariff of FY 20</w:t>
            </w:r>
          </w:p>
        </w:tc>
        <w:tc>
          <w:tcPr>
            <w:tcW w:w="2563" w:type="dxa"/>
            <w:shd w:val="clear" w:color="auto" w:fill="FFFFFF" w:themeFill="background1"/>
            <w:noWrap/>
            <w:vAlign w:val="center"/>
            <w:hideMark/>
          </w:tcPr>
          <w:p w:rsidR="009B0441" w:rsidRPr="00AE0294" w:rsidRDefault="009B0441" w:rsidP="00895B28">
            <w:pPr>
              <w:spacing w:after="0" w:line="276" w:lineRule="auto"/>
              <w:jc w:val="center"/>
              <w:rPr>
                <w:rFonts w:cstheme="minorHAnsi"/>
                <w:sz w:val="24"/>
                <w:szCs w:val="24"/>
              </w:rPr>
            </w:pPr>
            <w:r w:rsidRPr="00AE0294">
              <w:rPr>
                <w:rFonts w:cstheme="minorHAnsi"/>
                <w:sz w:val="24"/>
                <w:szCs w:val="24"/>
              </w:rPr>
              <w:t>31.07.2019</w:t>
            </w:r>
          </w:p>
        </w:tc>
        <w:tc>
          <w:tcPr>
            <w:tcW w:w="2399" w:type="dxa"/>
            <w:shd w:val="clear" w:color="auto" w:fill="FFFFFF" w:themeFill="background1"/>
            <w:noWrap/>
            <w:vAlign w:val="center"/>
            <w:hideMark/>
          </w:tcPr>
          <w:p w:rsidR="009B0441" w:rsidRPr="00AE0294" w:rsidRDefault="009B0441" w:rsidP="00895B28">
            <w:pPr>
              <w:spacing w:after="0" w:line="276" w:lineRule="auto"/>
              <w:jc w:val="center"/>
              <w:rPr>
                <w:rFonts w:cstheme="minorHAnsi"/>
                <w:sz w:val="24"/>
                <w:szCs w:val="24"/>
              </w:rPr>
            </w:pPr>
            <w:r w:rsidRPr="00AE0294">
              <w:rPr>
                <w:rFonts w:cstheme="minorHAnsi"/>
                <w:sz w:val="24"/>
                <w:szCs w:val="24"/>
              </w:rPr>
              <w:t>105 of 2020</w:t>
            </w:r>
          </w:p>
        </w:tc>
      </w:tr>
      <w:tr w:rsidR="009B0441" w:rsidRPr="00AE0294" w:rsidTr="00895B28">
        <w:trPr>
          <w:trHeight w:val="300"/>
        </w:trPr>
        <w:tc>
          <w:tcPr>
            <w:tcW w:w="827" w:type="dxa"/>
            <w:shd w:val="clear" w:color="auto" w:fill="FFFFFF" w:themeFill="background1"/>
            <w:noWrap/>
            <w:vAlign w:val="center"/>
            <w:hideMark/>
          </w:tcPr>
          <w:p w:rsidR="009B0441" w:rsidRPr="00AE0294" w:rsidRDefault="009B0441" w:rsidP="00895B28">
            <w:pPr>
              <w:spacing w:after="0" w:line="276" w:lineRule="auto"/>
              <w:jc w:val="center"/>
              <w:rPr>
                <w:rFonts w:cstheme="minorHAnsi"/>
                <w:sz w:val="24"/>
                <w:szCs w:val="24"/>
              </w:rPr>
            </w:pPr>
            <w:r w:rsidRPr="00AE0294">
              <w:rPr>
                <w:rFonts w:cstheme="minorHAnsi"/>
                <w:sz w:val="24"/>
                <w:szCs w:val="24"/>
              </w:rPr>
              <w:t>7</w:t>
            </w:r>
          </w:p>
        </w:tc>
        <w:tc>
          <w:tcPr>
            <w:tcW w:w="3017" w:type="dxa"/>
            <w:shd w:val="clear" w:color="auto" w:fill="FFFFFF" w:themeFill="background1"/>
            <w:noWrap/>
            <w:vAlign w:val="center"/>
            <w:hideMark/>
          </w:tcPr>
          <w:p w:rsidR="009B0441" w:rsidRPr="00AE0294" w:rsidRDefault="009B0441" w:rsidP="00895B28">
            <w:pPr>
              <w:spacing w:after="0" w:line="276" w:lineRule="auto"/>
              <w:rPr>
                <w:rFonts w:cstheme="minorHAnsi"/>
                <w:sz w:val="24"/>
                <w:szCs w:val="24"/>
              </w:rPr>
            </w:pPr>
            <w:r w:rsidRPr="00AE0294">
              <w:rPr>
                <w:rFonts w:cstheme="minorHAnsi"/>
                <w:sz w:val="24"/>
                <w:szCs w:val="24"/>
              </w:rPr>
              <w:t> Truing-up of FY 19 and ARR and Tariff of FY 21</w:t>
            </w:r>
          </w:p>
        </w:tc>
        <w:tc>
          <w:tcPr>
            <w:tcW w:w="2563" w:type="dxa"/>
            <w:shd w:val="clear" w:color="auto" w:fill="FFFFFF" w:themeFill="background1"/>
            <w:noWrap/>
            <w:vAlign w:val="center"/>
            <w:hideMark/>
          </w:tcPr>
          <w:p w:rsidR="009B0441" w:rsidRPr="00AE0294" w:rsidRDefault="009B0441" w:rsidP="00895B28">
            <w:pPr>
              <w:spacing w:after="0" w:line="276" w:lineRule="auto"/>
              <w:jc w:val="center"/>
              <w:rPr>
                <w:rFonts w:cstheme="minorHAnsi"/>
                <w:sz w:val="24"/>
                <w:szCs w:val="24"/>
              </w:rPr>
            </w:pPr>
            <w:r w:rsidRPr="00AE0294">
              <w:rPr>
                <w:rFonts w:cstheme="minorHAnsi"/>
                <w:sz w:val="24"/>
                <w:szCs w:val="24"/>
              </w:rPr>
              <w:t>28.08.2020</w:t>
            </w:r>
          </w:p>
        </w:tc>
        <w:tc>
          <w:tcPr>
            <w:tcW w:w="2399" w:type="dxa"/>
            <w:shd w:val="clear" w:color="auto" w:fill="auto"/>
            <w:noWrap/>
            <w:vAlign w:val="center"/>
          </w:tcPr>
          <w:p w:rsidR="009B0441" w:rsidRPr="00AE0294" w:rsidRDefault="009B0441" w:rsidP="00895B28">
            <w:pPr>
              <w:spacing w:after="0" w:line="276" w:lineRule="auto"/>
              <w:jc w:val="center"/>
              <w:rPr>
                <w:rFonts w:cstheme="minorHAnsi"/>
                <w:sz w:val="24"/>
                <w:szCs w:val="24"/>
              </w:rPr>
            </w:pPr>
            <w:r w:rsidRPr="00AE0294">
              <w:rPr>
                <w:rFonts w:cstheme="minorHAnsi"/>
                <w:sz w:val="24"/>
                <w:szCs w:val="24"/>
              </w:rPr>
              <w:t>247 of 2021</w:t>
            </w:r>
          </w:p>
        </w:tc>
      </w:tr>
      <w:tr w:rsidR="007A3406" w:rsidRPr="00AE0294" w:rsidTr="00895B28">
        <w:trPr>
          <w:trHeight w:val="300"/>
        </w:trPr>
        <w:tc>
          <w:tcPr>
            <w:tcW w:w="827" w:type="dxa"/>
            <w:shd w:val="clear" w:color="auto" w:fill="FFFFFF" w:themeFill="background1"/>
            <w:noWrap/>
            <w:vAlign w:val="center"/>
          </w:tcPr>
          <w:p w:rsidR="007A3406" w:rsidRPr="00AE0294" w:rsidRDefault="00B25700" w:rsidP="007A3406">
            <w:pPr>
              <w:spacing w:after="0" w:line="276" w:lineRule="auto"/>
              <w:jc w:val="center"/>
              <w:rPr>
                <w:rFonts w:cstheme="minorHAnsi"/>
                <w:sz w:val="24"/>
                <w:szCs w:val="24"/>
              </w:rPr>
            </w:pPr>
            <w:r>
              <w:rPr>
                <w:rFonts w:cstheme="minorHAnsi"/>
                <w:sz w:val="24"/>
                <w:szCs w:val="24"/>
              </w:rPr>
              <w:t>8</w:t>
            </w:r>
          </w:p>
        </w:tc>
        <w:tc>
          <w:tcPr>
            <w:tcW w:w="3017" w:type="dxa"/>
            <w:shd w:val="clear" w:color="auto" w:fill="FFFFFF" w:themeFill="background1"/>
            <w:noWrap/>
            <w:vAlign w:val="center"/>
          </w:tcPr>
          <w:p w:rsidR="007A3406" w:rsidRPr="00AE0294" w:rsidRDefault="007A3406" w:rsidP="007A3406">
            <w:pPr>
              <w:spacing w:after="0" w:line="276" w:lineRule="auto"/>
              <w:rPr>
                <w:rFonts w:cstheme="minorHAnsi"/>
                <w:sz w:val="24"/>
                <w:szCs w:val="24"/>
              </w:rPr>
            </w:pPr>
            <w:r w:rsidRPr="00AE0294">
              <w:rPr>
                <w:rFonts w:cstheme="minorHAnsi"/>
                <w:sz w:val="24"/>
                <w:szCs w:val="24"/>
              </w:rPr>
              <w:t> Truing-up of FY 20 and ARR and Tariff of FY 22</w:t>
            </w:r>
          </w:p>
        </w:tc>
        <w:tc>
          <w:tcPr>
            <w:tcW w:w="2563" w:type="dxa"/>
            <w:shd w:val="clear" w:color="auto" w:fill="FFFFFF" w:themeFill="background1"/>
            <w:noWrap/>
            <w:vAlign w:val="center"/>
          </w:tcPr>
          <w:p w:rsidR="007A3406" w:rsidRPr="00AE0294" w:rsidRDefault="007A3406" w:rsidP="007A3406">
            <w:pPr>
              <w:spacing w:after="0" w:line="276" w:lineRule="auto"/>
              <w:jc w:val="center"/>
              <w:rPr>
                <w:rFonts w:cstheme="minorHAnsi"/>
                <w:sz w:val="24"/>
                <w:szCs w:val="24"/>
              </w:rPr>
            </w:pPr>
            <w:r w:rsidRPr="00AE0294">
              <w:rPr>
                <w:rFonts w:cstheme="minorHAnsi"/>
                <w:sz w:val="24"/>
                <w:szCs w:val="24"/>
              </w:rPr>
              <w:t>30.09.2021</w:t>
            </w:r>
          </w:p>
        </w:tc>
        <w:tc>
          <w:tcPr>
            <w:tcW w:w="2399" w:type="dxa"/>
            <w:shd w:val="clear" w:color="auto" w:fill="auto"/>
            <w:noWrap/>
            <w:vAlign w:val="center"/>
          </w:tcPr>
          <w:p w:rsidR="007A3406" w:rsidRPr="00AE0294" w:rsidRDefault="007A3406" w:rsidP="007A3406">
            <w:pPr>
              <w:spacing w:after="0" w:line="276" w:lineRule="auto"/>
              <w:jc w:val="center"/>
              <w:rPr>
                <w:rFonts w:cstheme="minorHAnsi"/>
                <w:sz w:val="24"/>
                <w:szCs w:val="24"/>
              </w:rPr>
            </w:pPr>
            <w:r w:rsidRPr="00AE0294">
              <w:rPr>
                <w:rFonts w:cstheme="minorHAnsi"/>
                <w:sz w:val="24"/>
                <w:szCs w:val="24"/>
              </w:rPr>
              <w:t>DFR 118 of 2022</w:t>
            </w:r>
          </w:p>
        </w:tc>
      </w:tr>
    </w:tbl>
    <w:p w:rsidR="009B0441" w:rsidRPr="00AE0294" w:rsidRDefault="009B0441" w:rsidP="009B0441">
      <w:pPr>
        <w:pStyle w:val="ARRB11"/>
        <w:numPr>
          <w:ilvl w:val="0"/>
          <w:numId w:val="0"/>
        </w:numPr>
        <w:spacing w:before="0" w:after="0"/>
        <w:ind w:left="990"/>
        <w:rPr>
          <w:szCs w:val="24"/>
        </w:rPr>
      </w:pPr>
    </w:p>
    <w:p w:rsidR="009B0441" w:rsidRPr="00AE0294" w:rsidRDefault="009B0441" w:rsidP="007D37C9">
      <w:pPr>
        <w:pStyle w:val="ARRB11"/>
        <w:numPr>
          <w:ilvl w:val="1"/>
          <w:numId w:val="2"/>
        </w:numPr>
        <w:tabs>
          <w:tab w:val="clear" w:pos="1440"/>
        </w:tabs>
        <w:ind w:left="993" w:hanging="993"/>
        <w:rPr>
          <w:szCs w:val="24"/>
        </w:rPr>
      </w:pPr>
      <w:r w:rsidRPr="00AE0294">
        <w:rPr>
          <w:szCs w:val="24"/>
        </w:rPr>
        <w:t>The</w:t>
      </w:r>
      <w:r w:rsidR="001E6951">
        <w:rPr>
          <w:szCs w:val="24"/>
        </w:rPr>
        <w:t xml:space="preserve"> financial</w:t>
      </w:r>
      <w:r w:rsidRPr="00AE0294">
        <w:rPr>
          <w:szCs w:val="24"/>
        </w:rPr>
        <w:t xml:space="preserve"> impact of issues </w:t>
      </w:r>
      <w:r w:rsidR="00A44E07">
        <w:rPr>
          <w:szCs w:val="24"/>
        </w:rPr>
        <w:t xml:space="preserve">pending for adjudication in the aforesaid appeals, </w:t>
      </w:r>
      <w:r w:rsidR="00FC5326" w:rsidRPr="00AE0294">
        <w:rPr>
          <w:szCs w:val="24"/>
        </w:rPr>
        <w:t>including carrying cost</w:t>
      </w:r>
      <w:r w:rsidR="00A44E07">
        <w:rPr>
          <w:szCs w:val="24"/>
        </w:rPr>
        <w:t xml:space="preserve"> </w:t>
      </w:r>
      <w:r w:rsidRPr="00AE0294">
        <w:rPr>
          <w:szCs w:val="24"/>
        </w:rPr>
        <w:t xml:space="preserve">upto FY </w:t>
      </w:r>
      <w:r w:rsidR="006812F7" w:rsidRPr="00AE0294">
        <w:rPr>
          <w:szCs w:val="24"/>
        </w:rPr>
        <w:t>2021-22</w:t>
      </w:r>
      <w:r w:rsidRPr="00AE0294">
        <w:rPr>
          <w:szCs w:val="24"/>
        </w:rPr>
        <w:t xml:space="preserve"> is tabulated below:</w:t>
      </w:r>
    </w:p>
    <w:p w:rsidR="00492532" w:rsidRPr="00AE0294" w:rsidRDefault="00492532" w:rsidP="00492532">
      <w:pPr>
        <w:pStyle w:val="TableFigureARR"/>
        <w:spacing w:after="0"/>
        <w:ind w:left="646"/>
        <w:jc w:val="left"/>
        <w:rPr>
          <w:rFonts w:cstheme="minorHAnsi"/>
          <w:i w:val="0"/>
          <w:color w:val="auto"/>
          <w:sz w:val="24"/>
          <w:szCs w:val="24"/>
        </w:rPr>
      </w:pPr>
      <w:bookmarkStart w:id="31" w:name="_Toc120734122"/>
      <w:r w:rsidRPr="00AE0294">
        <w:rPr>
          <w:rFonts w:cstheme="minorHAnsi"/>
          <w:i w:val="0"/>
          <w:color w:val="auto"/>
          <w:sz w:val="24"/>
          <w:szCs w:val="24"/>
          <w:lang w:val="en-US"/>
        </w:rPr>
        <w:t xml:space="preserve">Table 3B </w:t>
      </w:r>
      <w:r w:rsidR="00BC0EFD" w:rsidRPr="00AE0294">
        <w:rPr>
          <w:rFonts w:cstheme="minorHAnsi"/>
          <w:i w:val="0"/>
          <w:color w:val="auto"/>
          <w:sz w:val="24"/>
          <w:szCs w:val="24"/>
          <w:lang w:val="en-US"/>
        </w:rPr>
        <w:fldChar w:fldCharType="begin"/>
      </w:r>
      <w:r w:rsidRPr="00AE0294">
        <w:rPr>
          <w:rFonts w:cstheme="minorHAnsi"/>
          <w:i w:val="0"/>
          <w:color w:val="auto"/>
          <w:sz w:val="24"/>
          <w:szCs w:val="24"/>
          <w:lang w:val="en-US"/>
        </w:rPr>
        <w:instrText xml:space="preserve"> SEQ Table_3B \* ARABIC </w:instrText>
      </w:r>
      <w:r w:rsidR="00BC0EFD" w:rsidRPr="00AE0294">
        <w:rPr>
          <w:rFonts w:cstheme="minorHAnsi"/>
          <w:i w:val="0"/>
          <w:color w:val="auto"/>
          <w:sz w:val="24"/>
          <w:szCs w:val="24"/>
          <w:lang w:val="en-US"/>
        </w:rPr>
        <w:fldChar w:fldCharType="separate"/>
      </w:r>
      <w:r w:rsidR="006D2E03">
        <w:rPr>
          <w:rFonts w:cstheme="minorHAnsi"/>
          <w:i w:val="0"/>
          <w:noProof/>
          <w:color w:val="auto"/>
          <w:sz w:val="24"/>
          <w:szCs w:val="24"/>
          <w:lang w:val="en-US"/>
        </w:rPr>
        <w:t>14</w:t>
      </w:r>
      <w:r w:rsidR="00BC0EFD" w:rsidRPr="00AE0294">
        <w:rPr>
          <w:rFonts w:cstheme="minorHAnsi"/>
          <w:i w:val="0"/>
          <w:color w:val="auto"/>
          <w:sz w:val="24"/>
          <w:szCs w:val="24"/>
        </w:rPr>
        <w:fldChar w:fldCharType="end"/>
      </w:r>
      <w:r w:rsidRPr="00AE0294">
        <w:rPr>
          <w:rFonts w:cstheme="minorHAnsi"/>
          <w:i w:val="0"/>
          <w:color w:val="auto"/>
          <w:sz w:val="24"/>
          <w:szCs w:val="24"/>
        </w:rPr>
        <w:t xml:space="preserve">: Impact of </w:t>
      </w:r>
      <w:r w:rsidR="00D532C9">
        <w:rPr>
          <w:rFonts w:cstheme="minorHAnsi"/>
          <w:i w:val="0"/>
          <w:color w:val="auto"/>
          <w:sz w:val="24"/>
          <w:szCs w:val="24"/>
        </w:rPr>
        <w:t xml:space="preserve">issues </w:t>
      </w:r>
      <w:r w:rsidRPr="00AE0294">
        <w:rPr>
          <w:rFonts w:cstheme="minorHAnsi"/>
          <w:i w:val="0"/>
          <w:color w:val="auto"/>
          <w:sz w:val="24"/>
          <w:szCs w:val="24"/>
        </w:rPr>
        <w:t xml:space="preserve">pending adjudication before </w:t>
      </w:r>
      <w:r w:rsidR="00DE77D9">
        <w:rPr>
          <w:rFonts w:cstheme="minorHAnsi"/>
          <w:i w:val="0"/>
          <w:color w:val="auto"/>
          <w:sz w:val="24"/>
          <w:szCs w:val="24"/>
        </w:rPr>
        <w:t xml:space="preserve">Hon’ble </w:t>
      </w:r>
      <w:r w:rsidRPr="00AE0294">
        <w:rPr>
          <w:rFonts w:cstheme="minorHAnsi"/>
          <w:i w:val="0"/>
          <w:color w:val="auto"/>
          <w:sz w:val="24"/>
          <w:szCs w:val="24"/>
        </w:rPr>
        <w:t>APTEL</w:t>
      </w:r>
      <w:r w:rsidR="00D23424" w:rsidRPr="00AE0294">
        <w:rPr>
          <w:rFonts w:cstheme="minorHAnsi"/>
          <w:i w:val="0"/>
          <w:color w:val="auto"/>
          <w:sz w:val="24"/>
          <w:szCs w:val="24"/>
        </w:rPr>
        <w:t xml:space="preserve"> (₹ Cr.)</w:t>
      </w:r>
      <w:bookmarkEnd w:id="31"/>
    </w:p>
    <w:tbl>
      <w:tblPr>
        <w:tblW w:w="8531" w:type="dxa"/>
        <w:tblInd w:w="562" w:type="dxa"/>
        <w:tblLook w:val="04A0" w:firstRow="1" w:lastRow="0" w:firstColumn="1" w:lastColumn="0" w:noHBand="0" w:noVBand="1"/>
      </w:tblPr>
      <w:tblGrid>
        <w:gridCol w:w="980"/>
        <w:gridCol w:w="3551"/>
        <w:gridCol w:w="1360"/>
        <w:gridCol w:w="1360"/>
        <w:gridCol w:w="1280"/>
      </w:tblGrid>
      <w:tr w:rsidR="006812F7" w:rsidRPr="00AE0294" w:rsidTr="00290559">
        <w:trPr>
          <w:trHeight w:val="330"/>
          <w:tblHeader/>
        </w:trPr>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12F7" w:rsidRPr="00AE0294" w:rsidRDefault="006812F7" w:rsidP="000712F9">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S.No.</w:t>
            </w:r>
          </w:p>
        </w:tc>
        <w:tc>
          <w:tcPr>
            <w:tcW w:w="3551" w:type="dxa"/>
            <w:tcBorders>
              <w:top w:val="single" w:sz="4" w:space="0" w:color="auto"/>
              <w:left w:val="nil"/>
              <w:bottom w:val="single" w:sz="4" w:space="0" w:color="auto"/>
              <w:right w:val="single" w:sz="4" w:space="0" w:color="auto"/>
            </w:tcBorders>
            <w:shd w:val="clear" w:color="auto" w:fill="auto"/>
            <w:vAlign w:val="center"/>
            <w:hideMark/>
          </w:tcPr>
          <w:p w:rsidR="006812F7" w:rsidRPr="00AE0294" w:rsidRDefault="006812F7" w:rsidP="000712F9">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Particulars</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812F7" w:rsidRPr="00AE0294" w:rsidRDefault="006812F7" w:rsidP="000712F9">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Principal</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812F7" w:rsidRPr="00AE0294" w:rsidRDefault="00290559" w:rsidP="000712F9">
            <w:pPr>
              <w:spacing w:after="0" w:line="240" w:lineRule="auto"/>
              <w:jc w:val="center"/>
              <w:rPr>
                <w:rFonts w:eastAsia="Times New Roman" w:cstheme="minorHAnsi"/>
                <w:b/>
                <w:bCs/>
                <w:color w:val="000000"/>
                <w:sz w:val="24"/>
                <w:szCs w:val="24"/>
                <w:lang w:eastAsia="en-IN"/>
              </w:rPr>
            </w:pPr>
            <w:r>
              <w:rPr>
                <w:rFonts w:eastAsia="Times New Roman" w:cstheme="minorHAnsi"/>
                <w:b/>
                <w:bCs/>
                <w:color w:val="000000"/>
                <w:sz w:val="24"/>
                <w:szCs w:val="24"/>
                <w:lang w:eastAsia="en-IN"/>
              </w:rPr>
              <w:t>Carrying Cost</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rsidR="006812F7" w:rsidRPr="00AE0294" w:rsidRDefault="006812F7" w:rsidP="000712F9">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Total</w:t>
            </w:r>
          </w:p>
        </w:tc>
      </w:tr>
      <w:tr w:rsidR="006812F7" w:rsidRPr="00AE0294" w:rsidTr="006812F7">
        <w:trPr>
          <w:trHeight w:val="330"/>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6812F7" w:rsidRPr="00290559" w:rsidRDefault="006812F7" w:rsidP="000712F9">
            <w:pPr>
              <w:spacing w:after="0" w:line="240" w:lineRule="auto"/>
              <w:jc w:val="center"/>
              <w:rPr>
                <w:rFonts w:eastAsia="Times New Roman" w:cstheme="minorHAnsi"/>
                <w:b/>
                <w:color w:val="000000"/>
                <w:sz w:val="24"/>
                <w:szCs w:val="24"/>
                <w:lang w:eastAsia="en-IN"/>
              </w:rPr>
            </w:pPr>
            <w:r w:rsidRPr="00290559">
              <w:rPr>
                <w:rFonts w:eastAsia="Times New Roman" w:cstheme="minorHAnsi"/>
                <w:b/>
                <w:color w:val="000000"/>
                <w:sz w:val="24"/>
                <w:szCs w:val="24"/>
                <w:lang w:eastAsia="en-IN"/>
              </w:rPr>
              <w:t> </w:t>
            </w:r>
            <w:r w:rsidR="00290559" w:rsidRPr="00290559">
              <w:rPr>
                <w:rFonts w:eastAsia="Times New Roman" w:cstheme="minorHAnsi"/>
                <w:b/>
                <w:color w:val="000000"/>
                <w:sz w:val="24"/>
                <w:szCs w:val="24"/>
                <w:lang w:eastAsia="en-IN"/>
              </w:rPr>
              <w:t>A</w:t>
            </w:r>
          </w:p>
        </w:tc>
        <w:tc>
          <w:tcPr>
            <w:tcW w:w="3551" w:type="dxa"/>
            <w:tcBorders>
              <w:top w:val="nil"/>
              <w:left w:val="nil"/>
              <w:bottom w:val="single" w:sz="4" w:space="0" w:color="auto"/>
              <w:right w:val="single" w:sz="4" w:space="0" w:color="auto"/>
            </w:tcBorders>
            <w:shd w:val="clear" w:color="auto" w:fill="auto"/>
            <w:vAlign w:val="center"/>
            <w:hideMark/>
          </w:tcPr>
          <w:p w:rsidR="006812F7" w:rsidRPr="00AE0294" w:rsidRDefault="006812F7" w:rsidP="000712F9">
            <w:pPr>
              <w:spacing w:after="0" w:line="240" w:lineRule="auto"/>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Power Purchase</w:t>
            </w:r>
          </w:p>
        </w:tc>
        <w:tc>
          <w:tcPr>
            <w:tcW w:w="1360" w:type="dxa"/>
            <w:tcBorders>
              <w:top w:val="nil"/>
              <w:left w:val="nil"/>
              <w:bottom w:val="single" w:sz="4" w:space="0" w:color="auto"/>
              <w:right w:val="single" w:sz="4" w:space="0" w:color="auto"/>
            </w:tcBorders>
            <w:shd w:val="clear" w:color="auto" w:fill="auto"/>
            <w:noWrap/>
            <w:vAlign w:val="center"/>
            <w:hideMark/>
          </w:tcPr>
          <w:p w:rsidR="006812F7" w:rsidRPr="00AE0294" w:rsidRDefault="006812F7" w:rsidP="000712F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 </w:t>
            </w:r>
          </w:p>
        </w:tc>
        <w:tc>
          <w:tcPr>
            <w:tcW w:w="1360" w:type="dxa"/>
            <w:tcBorders>
              <w:top w:val="nil"/>
              <w:left w:val="nil"/>
              <w:bottom w:val="single" w:sz="4" w:space="0" w:color="auto"/>
              <w:right w:val="single" w:sz="4" w:space="0" w:color="auto"/>
            </w:tcBorders>
            <w:shd w:val="clear" w:color="auto" w:fill="auto"/>
            <w:noWrap/>
            <w:vAlign w:val="center"/>
            <w:hideMark/>
          </w:tcPr>
          <w:p w:rsidR="006812F7" w:rsidRPr="00AE0294" w:rsidRDefault="006812F7" w:rsidP="000712F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 </w:t>
            </w:r>
          </w:p>
        </w:tc>
        <w:tc>
          <w:tcPr>
            <w:tcW w:w="1280" w:type="dxa"/>
            <w:tcBorders>
              <w:top w:val="nil"/>
              <w:left w:val="nil"/>
              <w:bottom w:val="single" w:sz="4" w:space="0" w:color="auto"/>
              <w:right w:val="single" w:sz="4" w:space="0" w:color="auto"/>
            </w:tcBorders>
            <w:shd w:val="clear" w:color="auto" w:fill="auto"/>
            <w:noWrap/>
            <w:vAlign w:val="center"/>
            <w:hideMark/>
          </w:tcPr>
          <w:p w:rsidR="006812F7" w:rsidRPr="00AE0294" w:rsidRDefault="006812F7" w:rsidP="000712F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 </w:t>
            </w:r>
          </w:p>
        </w:tc>
      </w:tr>
      <w:tr w:rsidR="000712F9" w:rsidRPr="00AE0294" w:rsidTr="000712F9">
        <w:trPr>
          <w:trHeight w:val="570"/>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0712F9" w:rsidRPr="00AE0294" w:rsidRDefault="000712F9" w:rsidP="000712F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w:t>
            </w:r>
          </w:p>
        </w:tc>
        <w:tc>
          <w:tcPr>
            <w:tcW w:w="3551" w:type="dxa"/>
            <w:tcBorders>
              <w:top w:val="nil"/>
              <w:left w:val="nil"/>
              <w:bottom w:val="single" w:sz="4" w:space="0" w:color="auto"/>
              <w:right w:val="single" w:sz="4" w:space="0" w:color="auto"/>
            </w:tcBorders>
            <w:shd w:val="clear" w:color="auto" w:fill="auto"/>
            <w:vAlign w:val="center"/>
            <w:hideMark/>
          </w:tcPr>
          <w:p w:rsidR="000712F9" w:rsidRPr="00AE0294" w:rsidRDefault="000712F9" w:rsidP="000712F9">
            <w:pPr>
              <w:spacing w:after="0" w:line="240" w:lineRule="auto"/>
              <w:jc w:val="both"/>
              <w:rPr>
                <w:rFonts w:eastAsia="Times New Roman" w:cstheme="minorHAnsi"/>
                <w:color w:val="000000"/>
                <w:sz w:val="24"/>
                <w:szCs w:val="24"/>
                <w:lang w:eastAsia="en-IN"/>
              </w:rPr>
            </w:pPr>
            <w:r w:rsidRPr="00AE0294">
              <w:rPr>
                <w:rFonts w:eastAsia="Times New Roman" w:cstheme="minorHAnsi"/>
                <w:color w:val="000000"/>
                <w:sz w:val="24"/>
                <w:szCs w:val="24"/>
                <w:lang w:eastAsia="en-IN"/>
              </w:rPr>
              <w:t>Carrying Cost of Power Purchase cost of Anta, Auraiya and Dadri Gas based stations</w:t>
            </w:r>
          </w:p>
        </w:tc>
        <w:tc>
          <w:tcPr>
            <w:tcW w:w="136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69</w:t>
            </w:r>
          </w:p>
        </w:tc>
        <w:tc>
          <w:tcPr>
            <w:tcW w:w="136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79</w:t>
            </w:r>
          </w:p>
        </w:tc>
        <w:tc>
          <w:tcPr>
            <w:tcW w:w="128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148</w:t>
            </w:r>
          </w:p>
        </w:tc>
      </w:tr>
      <w:tr w:rsidR="000712F9" w:rsidRPr="00AE0294" w:rsidTr="000712F9">
        <w:trPr>
          <w:trHeight w:val="33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0712F9" w:rsidRPr="00AE0294" w:rsidRDefault="000712F9" w:rsidP="000712F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2</w:t>
            </w:r>
          </w:p>
        </w:tc>
        <w:tc>
          <w:tcPr>
            <w:tcW w:w="3551" w:type="dxa"/>
            <w:tcBorders>
              <w:top w:val="nil"/>
              <w:left w:val="nil"/>
              <w:bottom w:val="single" w:sz="4" w:space="0" w:color="auto"/>
              <w:right w:val="single" w:sz="4" w:space="0" w:color="auto"/>
            </w:tcBorders>
            <w:shd w:val="clear" w:color="auto" w:fill="auto"/>
            <w:vAlign w:val="center"/>
            <w:hideMark/>
          </w:tcPr>
          <w:p w:rsidR="000712F9" w:rsidRPr="00AE0294" w:rsidRDefault="000712F9" w:rsidP="000712F9">
            <w:pPr>
              <w:spacing w:after="0" w:line="240" w:lineRule="auto"/>
              <w:jc w:val="both"/>
              <w:rPr>
                <w:rFonts w:eastAsia="Times New Roman" w:cstheme="minorHAnsi"/>
                <w:color w:val="000000"/>
                <w:sz w:val="24"/>
                <w:szCs w:val="24"/>
                <w:lang w:eastAsia="en-IN"/>
              </w:rPr>
            </w:pPr>
            <w:r w:rsidRPr="00AE0294">
              <w:rPr>
                <w:rFonts w:eastAsia="Times New Roman" w:cstheme="minorHAnsi"/>
                <w:color w:val="000000"/>
                <w:sz w:val="24"/>
                <w:szCs w:val="24"/>
                <w:lang w:eastAsia="en-IN"/>
              </w:rPr>
              <w:t>Consideration of Normative Rebate in True Up</w:t>
            </w:r>
          </w:p>
        </w:tc>
        <w:tc>
          <w:tcPr>
            <w:tcW w:w="136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404</w:t>
            </w:r>
          </w:p>
        </w:tc>
        <w:tc>
          <w:tcPr>
            <w:tcW w:w="136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555</w:t>
            </w:r>
          </w:p>
        </w:tc>
        <w:tc>
          <w:tcPr>
            <w:tcW w:w="128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959</w:t>
            </w:r>
          </w:p>
        </w:tc>
      </w:tr>
      <w:tr w:rsidR="000712F9" w:rsidRPr="00AE0294" w:rsidTr="000712F9">
        <w:trPr>
          <w:trHeight w:val="855"/>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0712F9" w:rsidRPr="00AE0294" w:rsidRDefault="000712F9" w:rsidP="000712F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3</w:t>
            </w:r>
          </w:p>
        </w:tc>
        <w:tc>
          <w:tcPr>
            <w:tcW w:w="3551" w:type="dxa"/>
            <w:tcBorders>
              <w:top w:val="nil"/>
              <w:left w:val="nil"/>
              <w:bottom w:val="single" w:sz="4" w:space="0" w:color="auto"/>
              <w:right w:val="single" w:sz="4" w:space="0" w:color="auto"/>
            </w:tcBorders>
            <w:shd w:val="clear" w:color="auto" w:fill="auto"/>
            <w:vAlign w:val="center"/>
            <w:hideMark/>
          </w:tcPr>
          <w:p w:rsidR="000712F9" w:rsidRPr="00AE0294" w:rsidRDefault="000712F9" w:rsidP="000712F9">
            <w:pPr>
              <w:spacing w:after="0" w:line="240" w:lineRule="auto"/>
              <w:jc w:val="both"/>
              <w:rPr>
                <w:rFonts w:eastAsia="Times New Roman" w:cstheme="minorHAnsi"/>
                <w:color w:val="000000"/>
                <w:sz w:val="24"/>
                <w:szCs w:val="24"/>
                <w:lang w:eastAsia="en-IN"/>
              </w:rPr>
            </w:pPr>
            <w:r w:rsidRPr="00AE0294">
              <w:rPr>
                <w:rFonts w:eastAsia="Times New Roman" w:cstheme="minorHAnsi"/>
                <w:color w:val="000000"/>
                <w:sz w:val="24"/>
                <w:szCs w:val="24"/>
                <w:lang w:eastAsia="en-IN"/>
              </w:rPr>
              <w:t>Disallowance of cost towards norma</w:t>
            </w:r>
            <w:r>
              <w:rPr>
                <w:rFonts w:eastAsia="Times New Roman" w:cstheme="minorHAnsi"/>
                <w:color w:val="000000"/>
                <w:sz w:val="24"/>
                <w:szCs w:val="24"/>
                <w:lang w:eastAsia="en-IN"/>
              </w:rPr>
              <w:t>tive banking transactions for FY</w:t>
            </w:r>
            <w:r w:rsidRPr="00AE0294">
              <w:rPr>
                <w:rFonts w:eastAsia="Times New Roman" w:cstheme="minorHAnsi"/>
                <w:color w:val="000000"/>
                <w:sz w:val="24"/>
                <w:szCs w:val="24"/>
                <w:lang w:eastAsia="en-IN"/>
              </w:rPr>
              <w:t xml:space="preserve"> 2018-19 and </w:t>
            </w:r>
            <w:r>
              <w:rPr>
                <w:rFonts w:eastAsia="Times New Roman" w:cstheme="minorHAnsi"/>
                <w:color w:val="000000"/>
                <w:sz w:val="24"/>
                <w:szCs w:val="24"/>
                <w:lang w:eastAsia="en-IN"/>
              </w:rPr>
              <w:t xml:space="preserve">FY </w:t>
            </w:r>
            <w:r w:rsidRPr="00AE0294">
              <w:rPr>
                <w:rFonts w:eastAsia="Times New Roman" w:cstheme="minorHAnsi"/>
                <w:color w:val="000000"/>
                <w:sz w:val="24"/>
                <w:szCs w:val="24"/>
                <w:lang w:eastAsia="en-IN"/>
              </w:rPr>
              <w:t>2019-20</w:t>
            </w:r>
          </w:p>
        </w:tc>
        <w:tc>
          <w:tcPr>
            <w:tcW w:w="136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69</w:t>
            </w:r>
          </w:p>
        </w:tc>
        <w:tc>
          <w:tcPr>
            <w:tcW w:w="136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24</w:t>
            </w:r>
          </w:p>
        </w:tc>
        <w:tc>
          <w:tcPr>
            <w:tcW w:w="128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93</w:t>
            </w:r>
          </w:p>
        </w:tc>
      </w:tr>
      <w:tr w:rsidR="000712F9" w:rsidRPr="00AE0294" w:rsidTr="000712F9">
        <w:trPr>
          <w:trHeight w:val="57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0712F9" w:rsidRPr="00AE0294" w:rsidRDefault="000712F9" w:rsidP="000712F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4</w:t>
            </w:r>
          </w:p>
        </w:tc>
        <w:tc>
          <w:tcPr>
            <w:tcW w:w="3551" w:type="dxa"/>
            <w:tcBorders>
              <w:top w:val="nil"/>
              <w:left w:val="nil"/>
              <w:bottom w:val="single" w:sz="4" w:space="0" w:color="auto"/>
              <w:right w:val="single" w:sz="4" w:space="0" w:color="auto"/>
            </w:tcBorders>
            <w:shd w:val="clear" w:color="auto" w:fill="auto"/>
            <w:vAlign w:val="center"/>
            <w:hideMark/>
          </w:tcPr>
          <w:p w:rsidR="000712F9" w:rsidRPr="00AE0294" w:rsidRDefault="000712F9" w:rsidP="000712F9">
            <w:pPr>
              <w:spacing w:after="0" w:line="240" w:lineRule="auto"/>
              <w:jc w:val="both"/>
              <w:rPr>
                <w:rFonts w:eastAsia="Times New Roman" w:cstheme="minorHAnsi"/>
                <w:color w:val="000000"/>
                <w:sz w:val="24"/>
                <w:szCs w:val="24"/>
                <w:lang w:eastAsia="en-IN"/>
              </w:rPr>
            </w:pPr>
            <w:r w:rsidRPr="00AE0294">
              <w:rPr>
                <w:rFonts w:eastAsia="Times New Roman" w:cstheme="minorHAnsi"/>
                <w:color w:val="000000"/>
                <w:sz w:val="24"/>
                <w:szCs w:val="24"/>
                <w:lang w:eastAsia="en-IN"/>
              </w:rPr>
              <w:t xml:space="preserve">Disallowance of incentive on sale of surplus power </w:t>
            </w:r>
            <w:r>
              <w:rPr>
                <w:rFonts w:eastAsia="Times New Roman" w:cstheme="minorHAnsi"/>
                <w:color w:val="000000"/>
                <w:sz w:val="24"/>
                <w:szCs w:val="24"/>
                <w:lang w:eastAsia="en-IN"/>
              </w:rPr>
              <w:t xml:space="preserve">for FY </w:t>
            </w:r>
            <w:r w:rsidRPr="00AE0294">
              <w:rPr>
                <w:rFonts w:eastAsia="Times New Roman" w:cstheme="minorHAnsi"/>
                <w:color w:val="000000"/>
                <w:sz w:val="24"/>
                <w:szCs w:val="24"/>
                <w:lang w:eastAsia="en-IN"/>
              </w:rPr>
              <w:t>2019-20</w:t>
            </w:r>
          </w:p>
        </w:tc>
        <w:tc>
          <w:tcPr>
            <w:tcW w:w="136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3</w:t>
            </w:r>
          </w:p>
        </w:tc>
        <w:tc>
          <w:tcPr>
            <w:tcW w:w="136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1</w:t>
            </w:r>
          </w:p>
        </w:tc>
        <w:tc>
          <w:tcPr>
            <w:tcW w:w="128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4</w:t>
            </w:r>
          </w:p>
        </w:tc>
      </w:tr>
      <w:tr w:rsidR="000712F9" w:rsidRPr="00AE0294" w:rsidTr="000712F9">
        <w:trPr>
          <w:trHeight w:val="855"/>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0712F9" w:rsidRPr="00AE0294" w:rsidRDefault="000712F9" w:rsidP="000712F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5</w:t>
            </w:r>
          </w:p>
        </w:tc>
        <w:tc>
          <w:tcPr>
            <w:tcW w:w="3551" w:type="dxa"/>
            <w:tcBorders>
              <w:top w:val="nil"/>
              <w:left w:val="nil"/>
              <w:bottom w:val="single" w:sz="4" w:space="0" w:color="auto"/>
              <w:right w:val="single" w:sz="4" w:space="0" w:color="auto"/>
            </w:tcBorders>
            <w:shd w:val="clear" w:color="auto" w:fill="auto"/>
            <w:vAlign w:val="center"/>
            <w:hideMark/>
          </w:tcPr>
          <w:p w:rsidR="000712F9" w:rsidRPr="00AE0294" w:rsidRDefault="000712F9" w:rsidP="000712F9">
            <w:pPr>
              <w:spacing w:after="0" w:line="240" w:lineRule="auto"/>
              <w:jc w:val="both"/>
              <w:rPr>
                <w:rFonts w:eastAsia="Times New Roman" w:cstheme="minorHAnsi"/>
                <w:color w:val="000000"/>
                <w:sz w:val="24"/>
                <w:szCs w:val="24"/>
                <w:lang w:eastAsia="en-IN"/>
              </w:rPr>
            </w:pPr>
            <w:r w:rsidRPr="00AE0294">
              <w:rPr>
                <w:rFonts w:eastAsia="Times New Roman" w:cstheme="minorHAnsi"/>
                <w:color w:val="000000"/>
                <w:sz w:val="24"/>
                <w:szCs w:val="24"/>
                <w:lang w:eastAsia="en-IN"/>
              </w:rPr>
              <w:t xml:space="preserve">Disallowance of power purchase cost during period of regulations for </w:t>
            </w:r>
            <w:r>
              <w:rPr>
                <w:rFonts w:eastAsia="Times New Roman" w:cstheme="minorHAnsi"/>
                <w:color w:val="000000"/>
                <w:sz w:val="24"/>
                <w:szCs w:val="24"/>
                <w:lang w:eastAsia="en-IN"/>
              </w:rPr>
              <w:t>FY</w:t>
            </w:r>
            <w:r w:rsidRPr="00AE0294">
              <w:rPr>
                <w:rFonts w:eastAsia="Times New Roman" w:cstheme="minorHAnsi"/>
                <w:color w:val="000000"/>
                <w:sz w:val="24"/>
                <w:szCs w:val="24"/>
                <w:lang w:eastAsia="en-IN"/>
              </w:rPr>
              <w:t xml:space="preserve"> 2011-12 to </w:t>
            </w:r>
            <w:r>
              <w:rPr>
                <w:rFonts w:eastAsia="Times New Roman" w:cstheme="minorHAnsi"/>
                <w:color w:val="000000"/>
                <w:sz w:val="24"/>
                <w:szCs w:val="24"/>
                <w:lang w:eastAsia="en-IN"/>
              </w:rPr>
              <w:t>FY</w:t>
            </w:r>
            <w:r w:rsidRPr="00AE0294">
              <w:rPr>
                <w:rFonts w:eastAsia="Times New Roman" w:cstheme="minorHAnsi"/>
                <w:color w:val="000000"/>
                <w:sz w:val="24"/>
                <w:szCs w:val="24"/>
                <w:lang w:eastAsia="en-IN"/>
              </w:rPr>
              <w:t xml:space="preserve"> 2017-18</w:t>
            </w:r>
          </w:p>
        </w:tc>
        <w:tc>
          <w:tcPr>
            <w:tcW w:w="136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298</w:t>
            </w:r>
          </w:p>
        </w:tc>
        <w:tc>
          <w:tcPr>
            <w:tcW w:w="136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537</w:t>
            </w:r>
          </w:p>
        </w:tc>
        <w:tc>
          <w:tcPr>
            <w:tcW w:w="128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835</w:t>
            </w:r>
          </w:p>
        </w:tc>
      </w:tr>
      <w:tr w:rsidR="000712F9" w:rsidRPr="00AE0294" w:rsidTr="000712F9">
        <w:trPr>
          <w:trHeight w:val="114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0712F9" w:rsidRPr="00AE0294" w:rsidRDefault="000712F9" w:rsidP="000712F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6</w:t>
            </w:r>
          </w:p>
        </w:tc>
        <w:tc>
          <w:tcPr>
            <w:tcW w:w="3551" w:type="dxa"/>
            <w:tcBorders>
              <w:top w:val="nil"/>
              <w:left w:val="nil"/>
              <w:bottom w:val="single" w:sz="4" w:space="0" w:color="auto"/>
              <w:right w:val="single" w:sz="4" w:space="0" w:color="auto"/>
            </w:tcBorders>
            <w:shd w:val="clear" w:color="auto" w:fill="auto"/>
            <w:vAlign w:val="center"/>
            <w:hideMark/>
          </w:tcPr>
          <w:p w:rsidR="000712F9" w:rsidRPr="00AE0294" w:rsidRDefault="000712F9" w:rsidP="000712F9">
            <w:pPr>
              <w:spacing w:after="0" w:line="240" w:lineRule="auto"/>
              <w:jc w:val="both"/>
              <w:rPr>
                <w:rFonts w:eastAsia="Times New Roman" w:cstheme="minorHAnsi"/>
                <w:color w:val="000000"/>
                <w:sz w:val="24"/>
                <w:szCs w:val="24"/>
                <w:lang w:eastAsia="en-IN"/>
              </w:rPr>
            </w:pPr>
            <w:r w:rsidRPr="00AE0294">
              <w:rPr>
                <w:rFonts w:eastAsia="Times New Roman" w:cstheme="minorHAnsi"/>
                <w:color w:val="000000"/>
                <w:sz w:val="24"/>
                <w:szCs w:val="24"/>
                <w:lang w:eastAsia="en-IN"/>
              </w:rPr>
              <w:t xml:space="preserve">Disallowance of power purchase cost from </w:t>
            </w:r>
            <w:r>
              <w:rPr>
                <w:rFonts w:eastAsia="Times New Roman" w:cstheme="minorHAnsi"/>
                <w:color w:val="000000"/>
                <w:sz w:val="24"/>
                <w:szCs w:val="24"/>
                <w:lang w:eastAsia="en-IN"/>
              </w:rPr>
              <w:t xml:space="preserve">FY </w:t>
            </w:r>
            <w:r w:rsidRPr="00AE0294">
              <w:rPr>
                <w:rFonts w:eastAsia="Times New Roman" w:cstheme="minorHAnsi"/>
                <w:color w:val="000000"/>
                <w:sz w:val="24"/>
                <w:szCs w:val="24"/>
                <w:lang w:eastAsia="en-IN"/>
              </w:rPr>
              <w:t xml:space="preserve">2014-15 to </w:t>
            </w:r>
            <w:r>
              <w:rPr>
                <w:rFonts w:eastAsia="Times New Roman" w:cstheme="minorHAnsi"/>
                <w:color w:val="000000"/>
                <w:sz w:val="24"/>
                <w:szCs w:val="24"/>
                <w:lang w:eastAsia="en-IN"/>
              </w:rPr>
              <w:t xml:space="preserve">FY </w:t>
            </w:r>
            <w:r w:rsidRPr="00AE0294">
              <w:rPr>
                <w:rFonts w:eastAsia="Times New Roman" w:cstheme="minorHAnsi"/>
                <w:color w:val="000000"/>
                <w:sz w:val="24"/>
                <w:szCs w:val="24"/>
                <w:lang w:eastAsia="en-IN"/>
              </w:rPr>
              <w:t>2015-16 on account of overlapping in banking transactions</w:t>
            </w:r>
          </w:p>
        </w:tc>
        <w:tc>
          <w:tcPr>
            <w:tcW w:w="136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4</w:t>
            </w:r>
          </w:p>
        </w:tc>
        <w:tc>
          <w:tcPr>
            <w:tcW w:w="136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6</w:t>
            </w:r>
          </w:p>
        </w:tc>
        <w:tc>
          <w:tcPr>
            <w:tcW w:w="128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10</w:t>
            </w:r>
          </w:p>
        </w:tc>
      </w:tr>
      <w:tr w:rsidR="000712F9" w:rsidRPr="00AE0294" w:rsidTr="000712F9">
        <w:trPr>
          <w:trHeight w:val="690"/>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0712F9" w:rsidRPr="00AE0294" w:rsidRDefault="000712F9" w:rsidP="000712F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7</w:t>
            </w:r>
          </w:p>
        </w:tc>
        <w:tc>
          <w:tcPr>
            <w:tcW w:w="3551" w:type="dxa"/>
            <w:tcBorders>
              <w:top w:val="nil"/>
              <w:left w:val="nil"/>
              <w:bottom w:val="single" w:sz="4" w:space="0" w:color="auto"/>
              <w:right w:val="single" w:sz="4" w:space="0" w:color="auto"/>
            </w:tcBorders>
            <w:shd w:val="clear" w:color="auto" w:fill="auto"/>
            <w:vAlign w:val="center"/>
            <w:hideMark/>
          </w:tcPr>
          <w:p w:rsidR="000712F9" w:rsidRPr="00AE0294" w:rsidRDefault="000712F9" w:rsidP="000712F9">
            <w:pPr>
              <w:spacing w:after="0" w:line="240" w:lineRule="auto"/>
              <w:jc w:val="both"/>
              <w:rPr>
                <w:rFonts w:eastAsia="Times New Roman" w:cstheme="minorHAnsi"/>
                <w:color w:val="000000"/>
                <w:sz w:val="24"/>
                <w:szCs w:val="24"/>
                <w:lang w:eastAsia="en-IN"/>
              </w:rPr>
            </w:pPr>
            <w:r>
              <w:rPr>
                <w:rFonts w:eastAsia="Times New Roman" w:cstheme="minorHAnsi"/>
                <w:color w:val="000000"/>
                <w:sz w:val="24"/>
                <w:szCs w:val="24"/>
                <w:lang w:eastAsia="en-IN"/>
              </w:rPr>
              <w:t>Disallowance of Power Purchase Cost on account o</w:t>
            </w:r>
            <w:r w:rsidRPr="00AE0294">
              <w:rPr>
                <w:rFonts w:eastAsia="Times New Roman" w:cstheme="minorHAnsi"/>
                <w:color w:val="000000"/>
                <w:sz w:val="24"/>
                <w:szCs w:val="24"/>
                <w:lang w:eastAsia="en-IN"/>
              </w:rPr>
              <w:t xml:space="preserve">f </w:t>
            </w:r>
            <w:r>
              <w:rPr>
                <w:rFonts w:eastAsia="Times New Roman" w:cstheme="minorHAnsi"/>
                <w:color w:val="000000"/>
                <w:sz w:val="24"/>
                <w:szCs w:val="24"/>
                <w:lang w:eastAsia="en-IN"/>
              </w:rPr>
              <w:t>excessive t</w:t>
            </w:r>
            <w:r w:rsidRPr="00AE0294">
              <w:rPr>
                <w:rFonts w:eastAsia="Times New Roman" w:cstheme="minorHAnsi"/>
                <w:color w:val="000000"/>
                <w:sz w:val="24"/>
                <w:szCs w:val="24"/>
                <w:lang w:eastAsia="en-IN"/>
              </w:rPr>
              <w:t xml:space="preserve">rading </w:t>
            </w:r>
            <w:r>
              <w:rPr>
                <w:rFonts w:eastAsia="Times New Roman" w:cstheme="minorHAnsi"/>
                <w:color w:val="000000"/>
                <w:sz w:val="24"/>
                <w:szCs w:val="24"/>
                <w:lang w:eastAsia="en-IN"/>
              </w:rPr>
              <w:t>a</w:t>
            </w:r>
            <w:r w:rsidRPr="00AE0294">
              <w:rPr>
                <w:rFonts w:eastAsia="Times New Roman" w:cstheme="minorHAnsi"/>
                <w:color w:val="000000"/>
                <w:sz w:val="24"/>
                <w:szCs w:val="24"/>
                <w:lang w:eastAsia="en-IN"/>
              </w:rPr>
              <w:t xml:space="preserve">t </w:t>
            </w:r>
            <w:r>
              <w:rPr>
                <w:rFonts w:eastAsia="Times New Roman" w:cstheme="minorHAnsi"/>
                <w:color w:val="000000"/>
                <w:sz w:val="24"/>
                <w:szCs w:val="24"/>
                <w:lang w:eastAsia="en-IN"/>
              </w:rPr>
              <w:t>UI</w:t>
            </w:r>
            <w:r w:rsidRPr="00AE0294">
              <w:rPr>
                <w:rFonts w:eastAsia="Times New Roman" w:cstheme="minorHAnsi"/>
                <w:color w:val="000000"/>
                <w:sz w:val="24"/>
                <w:szCs w:val="24"/>
                <w:lang w:eastAsia="en-IN"/>
              </w:rPr>
              <w:t xml:space="preserve"> </w:t>
            </w:r>
            <w:r>
              <w:rPr>
                <w:rFonts w:eastAsia="Times New Roman" w:cstheme="minorHAnsi"/>
                <w:color w:val="000000"/>
                <w:sz w:val="24"/>
                <w:szCs w:val="24"/>
                <w:lang w:eastAsia="en-IN"/>
              </w:rPr>
              <w:t>above c</w:t>
            </w:r>
            <w:r w:rsidRPr="00AE0294">
              <w:rPr>
                <w:rFonts w:eastAsia="Times New Roman" w:cstheme="minorHAnsi"/>
                <w:color w:val="000000"/>
                <w:sz w:val="24"/>
                <w:szCs w:val="24"/>
                <w:lang w:eastAsia="en-IN"/>
              </w:rPr>
              <w:t xml:space="preserve">ontingency </w:t>
            </w:r>
            <w:r>
              <w:rPr>
                <w:rFonts w:eastAsia="Times New Roman" w:cstheme="minorHAnsi"/>
                <w:color w:val="000000"/>
                <w:sz w:val="24"/>
                <w:szCs w:val="24"/>
                <w:lang w:eastAsia="en-IN"/>
              </w:rPr>
              <w:lastRenderedPageBreak/>
              <w:t>limit</w:t>
            </w:r>
            <w:r w:rsidRPr="00AE0294">
              <w:rPr>
                <w:rFonts w:eastAsia="Times New Roman" w:cstheme="minorHAnsi"/>
                <w:color w:val="000000"/>
                <w:sz w:val="24"/>
                <w:szCs w:val="24"/>
                <w:lang w:eastAsia="en-IN"/>
              </w:rPr>
              <w:t xml:space="preserve"> </w:t>
            </w:r>
            <w:r>
              <w:rPr>
                <w:rFonts w:eastAsia="Times New Roman" w:cstheme="minorHAnsi"/>
                <w:color w:val="000000"/>
                <w:sz w:val="24"/>
                <w:szCs w:val="24"/>
                <w:lang w:eastAsia="en-IN"/>
              </w:rPr>
              <w:t xml:space="preserve">for FY </w:t>
            </w:r>
            <w:r w:rsidRPr="00AE0294">
              <w:rPr>
                <w:rFonts w:eastAsia="Times New Roman" w:cstheme="minorHAnsi"/>
                <w:color w:val="000000"/>
                <w:sz w:val="24"/>
                <w:szCs w:val="24"/>
                <w:lang w:eastAsia="en-IN"/>
              </w:rPr>
              <w:t xml:space="preserve">2013-14 </w:t>
            </w:r>
            <w:r>
              <w:rPr>
                <w:rFonts w:eastAsia="Times New Roman" w:cstheme="minorHAnsi"/>
                <w:color w:val="000000"/>
                <w:sz w:val="24"/>
                <w:szCs w:val="24"/>
                <w:lang w:eastAsia="en-IN"/>
              </w:rPr>
              <w:t>and FY</w:t>
            </w:r>
            <w:r w:rsidRPr="00AE0294">
              <w:rPr>
                <w:rFonts w:eastAsia="Times New Roman" w:cstheme="minorHAnsi"/>
                <w:color w:val="000000"/>
                <w:sz w:val="24"/>
                <w:szCs w:val="24"/>
                <w:lang w:eastAsia="en-IN"/>
              </w:rPr>
              <w:t xml:space="preserve"> 2014-15 </w:t>
            </w:r>
          </w:p>
        </w:tc>
        <w:tc>
          <w:tcPr>
            <w:tcW w:w="136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lastRenderedPageBreak/>
              <w:t>19</w:t>
            </w:r>
          </w:p>
        </w:tc>
        <w:tc>
          <w:tcPr>
            <w:tcW w:w="136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34</w:t>
            </w:r>
          </w:p>
        </w:tc>
        <w:tc>
          <w:tcPr>
            <w:tcW w:w="128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52</w:t>
            </w:r>
          </w:p>
        </w:tc>
      </w:tr>
      <w:tr w:rsidR="000712F9" w:rsidRPr="00AE0294" w:rsidTr="000712F9">
        <w:trPr>
          <w:trHeight w:val="57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0712F9" w:rsidRPr="00AE0294" w:rsidRDefault="000712F9" w:rsidP="000712F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lastRenderedPageBreak/>
              <w:t>8</w:t>
            </w:r>
          </w:p>
        </w:tc>
        <w:tc>
          <w:tcPr>
            <w:tcW w:w="3551" w:type="dxa"/>
            <w:tcBorders>
              <w:top w:val="nil"/>
              <w:left w:val="nil"/>
              <w:bottom w:val="single" w:sz="4" w:space="0" w:color="auto"/>
              <w:right w:val="single" w:sz="4" w:space="0" w:color="auto"/>
            </w:tcBorders>
            <w:shd w:val="clear" w:color="auto" w:fill="auto"/>
            <w:vAlign w:val="center"/>
            <w:hideMark/>
          </w:tcPr>
          <w:p w:rsidR="000712F9" w:rsidRPr="00AE0294" w:rsidRDefault="000712F9" w:rsidP="000712F9">
            <w:pPr>
              <w:spacing w:after="0" w:line="240" w:lineRule="auto"/>
              <w:jc w:val="both"/>
              <w:rPr>
                <w:rFonts w:eastAsia="Times New Roman" w:cstheme="minorHAnsi"/>
                <w:color w:val="000000"/>
                <w:sz w:val="24"/>
                <w:szCs w:val="24"/>
                <w:lang w:eastAsia="en-IN"/>
              </w:rPr>
            </w:pPr>
            <w:r>
              <w:rPr>
                <w:rFonts w:eastAsia="Times New Roman" w:cstheme="minorHAnsi"/>
                <w:color w:val="000000"/>
                <w:sz w:val="24"/>
                <w:szCs w:val="24"/>
                <w:lang w:eastAsia="en-IN"/>
              </w:rPr>
              <w:t>D</w:t>
            </w:r>
            <w:r w:rsidRPr="00AE0294">
              <w:rPr>
                <w:rFonts w:eastAsia="Times New Roman" w:cstheme="minorHAnsi"/>
                <w:color w:val="000000"/>
                <w:sz w:val="24"/>
                <w:szCs w:val="24"/>
                <w:lang w:eastAsia="en-IN"/>
              </w:rPr>
              <w:t>isallowance of rel</w:t>
            </w:r>
            <w:r>
              <w:rPr>
                <w:rFonts w:eastAsia="Times New Roman" w:cstheme="minorHAnsi"/>
                <w:color w:val="000000"/>
                <w:sz w:val="24"/>
                <w:szCs w:val="24"/>
                <w:lang w:eastAsia="en-IN"/>
              </w:rPr>
              <w:t>ated party trading margin for FY</w:t>
            </w:r>
            <w:r w:rsidRPr="00AE0294">
              <w:rPr>
                <w:rFonts w:eastAsia="Times New Roman" w:cstheme="minorHAnsi"/>
                <w:color w:val="000000"/>
                <w:sz w:val="24"/>
                <w:szCs w:val="24"/>
                <w:lang w:eastAsia="en-IN"/>
              </w:rPr>
              <w:t xml:space="preserve"> 2011-12 to </w:t>
            </w:r>
            <w:r>
              <w:rPr>
                <w:rFonts w:eastAsia="Times New Roman" w:cstheme="minorHAnsi"/>
                <w:color w:val="000000"/>
                <w:sz w:val="24"/>
                <w:szCs w:val="24"/>
                <w:lang w:eastAsia="en-IN"/>
              </w:rPr>
              <w:t>FY</w:t>
            </w:r>
            <w:r w:rsidRPr="00AE0294">
              <w:rPr>
                <w:rFonts w:eastAsia="Times New Roman" w:cstheme="minorHAnsi"/>
                <w:color w:val="000000"/>
                <w:sz w:val="24"/>
                <w:szCs w:val="24"/>
                <w:lang w:eastAsia="en-IN"/>
              </w:rPr>
              <w:t xml:space="preserve"> 2013-14</w:t>
            </w:r>
          </w:p>
        </w:tc>
        <w:tc>
          <w:tcPr>
            <w:tcW w:w="136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3</w:t>
            </w:r>
          </w:p>
        </w:tc>
        <w:tc>
          <w:tcPr>
            <w:tcW w:w="136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8</w:t>
            </w:r>
          </w:p>
        </w:tc>
        <w:tc>
          <w:tcPr>
            <w:tcW w:w="128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11</w:t>
            </w:r>
          </w:p>
        </w:tc>
      </w:tr>
      <w:tr w:rsidR="000712F9" w:rsidRPr="00AE0294" w:rsidTr="000712F9">
        <w:trPr>
          <w:trHeight w:val="570"/>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0712F9" w:rsidRPr="00AE0294" w:rsidRDefault="000712F9" w:rsidP="000712F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9</w:t>
            </w:r>
          </w:p>
        </w:tc>
        <w:tc>
          <w:tcPr>
            <w:tcW w:w="3551" w:type="dxa"/>
            <w:tcBorders>
              <w:top w:val="nil"/>
              <w:left w:val="nil"/>
              <w:bottom w:val="single" w:sz="4" w:space="0" w:color="auto"/>
              <w:right w:val="single" w:sz="4" w:space="0" w:color="auto"/>
            </w:tcBorders>
            <w:shd w:val="clear" w:color="auto" w:fill="auto"/>
            <w:vAlign w:val="center"/>
            <w:hideMark/>
          </w:tcPr>
          <w:p w:rsidR="000712F9" w:rsidRPr="00AE0294" w:rsidRDefault="000712F9" w:rsidP="000712F9">
            <w:pPr>
              <w:spacing w:after="0" w:line="240" w:lineRule="auto"/>
              <w:jc w:val="both"/>
              <w:rPr>
                <w:rFonts w:eastAsia="Times New Roman" w:cstheme="minorHAnsi"/>
                <w:color w:val="000000"/>
                <w:sz w:val="24"/>
                <w:szCs w:val="24"/>
                <w:lang w:eastAsia="en-IN"/>
              </w:rPr>
            </w:pPr>
            <w:r>
              <w:rPr>
                <w:rFonts w:eastAsia="Times New Roman" w:cstheme="minorHAnsi"/>
                <w:color w:val="000000"/>
                <w:sz w:val="24"/>
                <w:szCs w:val="24"/>
                <w:lang w:eastAsia="en-IN"/>
              </w:rPr>
              <w:t xml:space="preserve">Disallownce </w:t>
            </w:r>
            <w:r w:rsidRPr="00AE0294">
              <w:rPr>
                <w:rFonts w:eastAsia="Times New Roman" w:cstheme="minorHAnsi"/>
                <w:color w:val="000000"/>
                <w:sz w:val="24"/>
                <w:szCs w:val="24"/>
                <w:lang w:eastAsia="en-IN"/>
              </w:rPr>
              <w:t xml:space="preserve">of additional </w:t>
            </w:r>
            <w:r>
              <w:rPr>
                <w:rFonts w:eastAsia="Times New Roman" w:cstheme="minorHAnsi"/>
                <w:color w:val="000000"/>
                <w:sz w:val="24"/>
                <w:szCs w:val="24"/>
                <w:lang w:eastAsia="en-IN"/>
              </w:rPr>
              <w:t xml:space="preserve">FY </w:t>
            </w:r>
            <w:r w:rsidRPr="00AE0294">
              <w:rPr>
                <w:rFonts w:eastAsia="Times New Roman" w:cstheme="minorHAnsi"/>
                <w:color w:val="000000"/>
                <w:sz w:val="24"/>
                <w:szCs w:val="24"/>
                <w:lang w:eastAsia="en-IN"/>
              </w:rPr>
              <w:t xml:space="preserve"> 2017-18 and </w:t>
            </w:r>
            <w:r>
              <w:rPr>
                <w:rFonts w:eastAsia="Times New Roman" w:cstheme="minorHAnsi"/>
                <w:color w:val="000000"/>
                <w:sz w:val="24"/>
                <w:szCs w:val="24"/>
                <w:lang w:eastAsia="en-IN"/>
              </w:rPr>
              <w:t>FY</w:t>
            </w:r>
            <w:r w:rsidRPr="00AE0294">
              <w:rPr>
                <w:rFonts w:eastAsia="Times New Roman" w:cstheme="minorHAnsi"/>
                <w:color w:val="000000"/>
                <w:sz w:val="24"/>
                <w:szCs w:val="24"/>
                <w:lang w:eastAsia="en-IN"/>
              </w:rPr>
              <w:t xml:space="preserve"> 2019-20.</w:t>
            </w:r>
          </w:p>
        </w:tc>
        <w:tc>
          <w:tcPr>
            <w:tcW w:w="136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18</w:t>
            </w:r>
          </w:p>
        </w:tc>
        <w:tc>
          <w:tcPr>
            <w:tcW w:w="136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18</w:t>
            </w:r>
          </w:p>
        </w:tc>
        <w:tc>
          <w:tcPr>
            <w:tcW w:w="128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36</w:t>
            </w:r>
          </w:p>
        </w:tc>
      </w:tr>
      <w:tr w:rsidR="000712F9" w:rsidRPr="00AE0294" w:rsidTr="000712F9">
        <w:trPr>
          <w:trHeight w:val="57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0712F9" w:rsidRPr="00AE0294" w:rsidRDefault="000712F9" w:rsidP="000712F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10</w:t>
            </w:r>
          </w:p>
        </w:tc>
        <w:tc>
          <w:tcPr>
            <w:tcW w:w="3551" w:type="dxa"/>
            <w:tcBorders>
              <w:top w:val="nil"/>
              <w:left w:val="nil"/>
              <w:bottom w:val="single" w:sz="4" w:space="0" w:color="auto"/>
              <w:right w:val="single" w:sz="4" w:space="0" w:color="auto"/>
            </w:tcBorders>
            <w:shd w:val="clear" w:color="auto" w:fill="auto"/>
            <w:vAlign w:val="center"/>
            <w:hideMark/>
          </w:tcPr>
          <w:p w:rsidR="000712F9" w:rsidRPr="00AE0294" w:rsidRDefault="000712F9" w:rsidP="000712F9">
            <w:pPr>
              <w:spacing w:after="0" w:line="240" w:lineRule="auto"/>
              <w:jc w:val="both"/>
              <w:rPr>
                <w:rFonts w:eastAsia="Times New Roman" w:cstheme="minorHAnsi"/>
                <w:color w:val="000000"/>
                <w:sz w:val="24"/>
                <w:szCs w:val="24"/>
                <w:lang w:eastAsia="en-IN"/>
              </w:rPr>
            </w:pPr>
            <w:r>
              <w:rPr>
                <w:rFonts w:eastAsia="Times New Roman" w:cstheme="minorHAnsi"/>
                <w:color w:val="000000"/>
                <w:sz w:val="24"/>
                <w:szCs w:val="24"/>
                <w:lang w:eastAsia="en-IN"/>
              </w:rPr>
              <w:t>Penalty on account of RPO c</w:t>
            </w:r>
            <w:r w:rsidRPr="00AE0294">
              <w:rPr>
                <w:rFonts w:eastAsia="Times New Roman" w:cstheme="minorHAnsi"/>
                <w:color w:val="000000"/>
                <w:sz w:val="24"/>
                <w:szCs w:val="24"/>
                <w:lang w:eastAsia="en-IN"/>
              </w:rPr>
              <w:t xml:space="preserve">ompliance from FY </w:t>
            </w:r>
            <w:r>
              <w:rPr>
                <w:rFonts w:eastAsia="Times New Roman" w:cstheme="minorHAnsi"/>
                <w:color w:val="000000"/>
                <w:sz w:val="24"/>
                <w:szCs w:val="24"/>
                <w:lang w:eastAsia="en-IN"/>
              </w:rPr>
              <w:t>2012-</w:t>
            </w:r>
            <w:r w:rsidRPr="00AE0294">
              <w:rPr>
                <w:rFonts w:eastAsia="Times New Roman" w:cstheme="minorHAnsi"/>
                <w:color w:val="000000"/>
                <w:sz w:val="24"/>
                <w:szCs w:val="24"/>
                <w:lang w:eastAsia="en-IN"/>
              </w:rPr>
              <w:t xml:space="preserve">13 to FY </w:t>
            </w:r>
            <w:r>
              <w:rPr>
                <w:rFonts w:eastAsia="Times New Roman" w:cstheme="minorHAnsi"/>
                <w:color w:val="000000"/>
                <w:sz w:val="24"/>
                <w:szCs w:val="24"/>
                <w:lang w:eastAsia="en-IN"/>
              </w:rPr>
              <w:t>2019-</w:t>
            </w:r>
            <w:r w:rsidRPr="00AE0294">
              <w:rPr>
                <w:rFonts w:eastAsia="Times New Roman" w:cstheme="minorHAnsi"/>
                <w:color w:val="000000"/>
                <w:sz w:val="24"/>
                <w:szCs w:val="24"/>
                <w:lang w:eastAsia="en-IN"/>
              </w:rPr>
              <w:t>20</w:t>
            </w:r>
          </w:p>
        </w:tc>
        <w:tc>
          <w:tcPr>
            <w:tcW w:w="136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46</w:t>
            </w:r>
          </w:p>
        </w:tc>
        <w:tc>
          <w:tcPr>
            <w:tcW w:w="136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40</w:t>
            </w:r>
          </w:p>
        </w:tc>
        <w:tc>
          <w:tcPr>
            <w:tcW w:w="128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86</w:t>
            </w:r>
          </w:p>
        </w:tc>
      </w:tr>
      <w:tr w:rsidR="000712F9" w:rsidRPr="00AE0294" w:rsidTr="000712F9">
        <w:trPr>
          <w:trHeight w:val="855"/>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0712F9" w:rsidRPr="00AE0294" w:rsidRDefault="000712F9" w:rsidP="000712F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11</w:t>
            </w:r>
          </w:p>
        </w:tc>
        <w:tc>
          <w:tcPr>
            <w:tcW w:w="3551" w:type="dxa"/>
            <w:tcBorders>
              <w:top w:val="nil"/>
              <w:left w:val="nil"/>
              <w:bottom w:val="single" w:sz="4" w:space="0" w:color="auto"/>
              <w:right w:val="single" w:sz="4" w:space="0" w:color="auto"/>
            </w:tcBorders>
            <w:shd w:val="clear" w:color="auto" w:fill="auto"/>
            <w:vAlign w:val="center"/>
            <w:hideMark/>
          </w:tcPr>
          <w:p w:rsidR="000712F9" w:rsidRPr="00AE0294" w:rsidRDefault="000712F9" w:rsidP="000712F9">
            <w:pPr>
              <w:spacing w:after="0" w:line="240" w:lineRule="auto"/>
              <w:jc w:val="both"/>
              <w:rPr>
                <w:rFonts w:eastAsia="Times New Roman" w:cstheme="minorHAnsi"/>
                <w:color w:val="000000"/>
                <w:sz w:val="24"/>
                <w:szCs w:val="24"/>
                <w:lang w:eastAsia="en-IN"/>
              </w:rPr>
            </w:pPr>
            <w:r>
              <w:rPr>
                <w:rFonts w:eastAsia="Times New Roman" w:cstheme="minorHAnsi"/>
                <w:color w:val="000000"/>
                <w:sz w:val="24"/>
                <w:szCs w:val="24"/>
                <w:lang w:eastAsia="en-IN"/>
              </w:rPr>
              <w:t>Disallowance on account</w:t>
            </w:r>
            <w:r w:rsidRPr="00AE0294">
              <w:rPr>
                <w:rFonts w:eastAsia="Times New Roman" w:cstheme="minorHAnsi"/>
                <w:color w:val="000000"/>
                <w:sz w:val="24"/>
                <w:szCs w:val="24"/>
                <w:lang w:eastAsia="en-IN"/>
              </w:rPr>
              <w:t xml:space="preserve"> of sustained dev</w:t>
            </w:r>
            <w:r>
              <w:rPr>
                <w:rFonts w:eastAsia="Times New Roman" w:cstheme="minorHAnsi"/>
                <w:color w:val="000000"/>
                <w:sz w:val="24"/>
                <w:szCs w:val="24"/>
                <w:lang w:eastAsia="en-IN"/>
              </w:rPr>
              <w:t xml:space="preserve">iation charges for FY 2018-19 and FY </w:t>
            </w:r>
            <w:r w:rsidRPr="00AE0294">
              <w:rPr>
                <w:rFonts w:eastAsia="Times New Roman" w:cstheme="minorHAnsi"/>
                <w:color w:val="000000"/>
                <w:sz w:val="24"/>
                <w:szCs w:val="24"/>
                <w:lang w:eastAsia="en-IN"/>
              </w:rPr>
              <w:t>2019-20.</w:t>
            </w:r>
          </w:p>
        </w:tc>
        <w:tc>
          <w:tcPr>
            <w:tcW w:w="136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4</w:t>
            </w:r>
          </w:p>
        </w:tc>
        <w:tc>
          <w:tcPr>
            <w:tcW w:w="136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2</w:t>
            </w:r>
          </w:p>
        </w:tc>
        <w:tc>
          <w:tcPr>
            <w:tcW w:w="128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5</w:t>
            </w:r>
          </w:p>
        </w:tc>
      </w:tr>
      <w:tr w:rsidR="006812F7" w:rsidRPr="00AE0294" w:rsidTr="006812F7">
        <w:trPr>
          <w:trHeight w:val="33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6812F7" w:rsidRPr="009B3570" w:rsidRDefault="006812F7" w:rsidP="000712F9">
            <w:pPr>
              <w:spacing w:after="0" w:line="240" w:lineRule="auto"/>
              <w:jc w:val="center"/>
              <w:rPr>
                <w:rFonts w:eastAsia="Times New Roman" w:cstheme="minorHAnsi"/>
                <w:b/>
                <w:color w:val="000000"/>
                <w:sz w:val="24"/>
                <w:szCs w:val="24"/>
                <w:lang w:eastAsia="en-IN"/>
              </w:rPr>
            </w:pPr>
            <w:r w:rsidRPr="00AE0294">
              <w:rPr>
                <w:rFonts w:eastAsia="Times New Roman" w:cstheme="minorHAnsi"/>
                <w:color w:val="000000"/>
                <w:sz w:val="24"/>
                <w:szCs w:val="24"/>
                <w:lang w:eastAsia="en-IN"/>
              </w:rPr>
              <w:t> </w:t>
            </w:r>
            <w:r w:rsidR="009B3570" w:rsidRPr="009B3570">
              <w:rPr>
                <w:rFonts w:eastAsia="Times New Roman" w:cstheme="minorHAnsi"/>
                <w:b/>
                <w:color w:val="000000"/>
                <w:sz w:val="24"/>
                <w:szCs w:val="24"/>
                <w:lang w:eastAsia="en-IN"/>
              </w:rPr>
              <w:t>B</w:t>
            </w:r>
          </w:p>
        </w:tc>
        <w:tc>
          <w:tcPr>
            <w:tcW w:w="3551" w:type="dxa"/>
            <w:tcBorders>
              <w:top w:val="nil"/>
              <w:left w:val="nil"/>
              <w:bottom w:val="single" w:sz="4" w:space="0" w:color="auto"/>
              <w:right w:val="single" w:sz="4" w:space="0" w:color="auto"/>
            </w:tcBorders>
            <w:shd w:val="clear" w:color="auto" w:fill="auto"/>
            <w:vAlign w:val="center"/>
            <w:hideMark/>
          </w:tcPr>
          <w:p w:rsidR="006812F7" w:rsidRPr="00AE0294" w:rsidRDefault="00DE77D9" w:rsidP="000712F9">
            <w:pPr>
              <w:spacing w:after="0" w:line="240" w:lineRule="auto"/>
              <w:jc w:val="both"/>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Capex</w:t>
            </w:r>
          </w:p>
        </w:tc>
        <w:tc>
          <w:tcPr>
            <w:tcW w:w="1360" w:type="dxa"/>
            <w:tcBorders>
              <w:top w:val="nil"/>
              <w:left w:val="nil"/>
              <w:bottom w:val="single" w:sz="4" w:space="0" w:color="auto"/>
              <w:right w:val="single" w:sz="4" w:space="0" w:color="auto"/>
            </w:tcBorders>
            <w:shd w:val="clear" w:color="auto" w:fill="auto"/>
            <w:noWrap/>
            <w:vAlign w:val="center"/>
            <w:hideMark/>
          </w:tcPr>
          <w:p w:rsidR="006812F7" w:rsidRPr="00AE0294" w:rsidRDefault="006812F7" w:rsidP="000712F9">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 </w:t>
            </w:r>
          </w:p>
        </w:tc>
        <w:tc>
          <w:tcPr>
            <w:tcW w:w="1360" w:type="dxa"/>
            <w:tcBorders>
              <w:top w:val="nil"/>
              <w:left w:val="nil"/>
              <w:bottom w:val="single" w:sz="4" w:space="0" w:color="auto"/>
              <w:right w:val="single" w:sz="4" w:space="0" w:color="auto"/>
            </w:tcBorders>
            <w:shd w:val="clear" w:color="auto" w:fill="auto"/>
            <w:noWrap/>
            <w:vAlign w:val="center"/>
            <w:hideMark/>
          </w:tcPr>
          <w:p w:rsidR="006812F7" w:rsidRPr="00AE0294" w:rsidRDefault="006812F7" w:rsidP="000712F9">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 </w:t>
            </w:r>
          </w:p>
        </w:tc>
        <w:tc>
          <w:tcPr>
            <w:tcW w:w="1280" w:type="dxa"/>
            <w:tcBorders>
              <w:top w:val="nil"/>
              <w:left w:val="nil"/>
              <w:bottom w:val="single" w:sz="4" w:space="0" w:color="auto"/>
              <w:right w:val="single" w:sz="4" w:space="0" w:color="auto"/>
            </w:tcBorders>
            <w:shd w:val="clear" w:color="auto" w:fill="auto"/>
            <w:noWrap/>
            <w:vAlign w:val="bottom"/>
            <w:hideMark/>
          </w:tcPr>
          <w:p w:rsidR="006812F7" w:rsidRPr="00AE0294" w:rsidRDefault="006812F7" w:rsidP="000712F9">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 </w:t>
            </w:r>
          </w:p>
        </w:tc>
      </w:tr>
      <w:tr w:rsidR="009B3570" w:rsidRPr="00AE0294" w:rsidTr="009B3570">
        <w:trPr>
          <w:trHeight w:val="330"/>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9B3570" w:rsidRPr="00AE0294" w:rsidRDefault="009B3570" w:rsidP="000712F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12</w:t>
            </w:r>
          </w:p>
        </w:tc>
        <w:tc>
          <w:tcPr>
            <w:tcW w:w="3551" w:type="dxa"/>
            <w:tcBorders>
              <w:top w:val="nil"/>
              <w:left w:val="nil"/>
              <w:bottom w:val="single" w:sz="4" w:space="0" w:color="auto"/>
              <w:right w:val="single" w:sz="4" w:space="0" w:color="auto"/>
            </w:tcBorders>
            <w:shd w:val="clear" w:color="auto" w:fill="auto"/>
            <w:vAlign w:val="center"/>
            <w:hideMark/>
          </w:tcPr>
          <w:p w:rsidR="009B3570" w:rsidRPr="00AE0294" w:rsidRDefault="009B3570" w:rsidP="000712F9">
            <w:pPr>
              <w:spacing w:after="0" w:line="240" w:lineRule="auto"/>
              <w:jc w:val="both"/>
              <w:rPr>
                <w:rFonts w:eastAsia="Times New Roman" w:cstheme="minorHAnsi"/>
                <w:color w:val="000000"/>
                <w:sz w:val="24"/>
                <w:szCs w:val="24"/>
                <w:lang w:eastAsia="en-IN"/>
              </w:rPr>
            </w:pPr>
            <w:r w:rsidRPr="00AE0294">
              <w:rPr>
                <w:rFonts w:eastAsia="Times New Roman" w:cstheme="minorHAnsi"/>
                <w:color w:val="000000"/>
                <w:sz w:val="24"/>
                <w:szCs w:val="24"/>
                <w:lang w:eastAsia="en-IN"/>
              </w:rPr>
              <w:t xml:space="preserve">Advance </w:t>
            </w:r>
            <w:r>
              <w:rPr>
                <w:rFonts w:eastAsia="Times New Roman" w:cstheme="minorHAnsi"/>
                <w:color w:val="000000"/>
                <w:sz w:val="24"/>
                <w:szCs w:val="24"/>
                <w:lang w:eastAsia="en-IN"/>
              </w:rPr>
              <w:t>A</w:t>
            </w:r>
            <w:r w:rsidRPr="00AE0294">
              <w:rPr>
                <w:rFonts w:eastAsia="Times New Roman" w:cstheme="minorHAnsi"/>
                <w:color w:val="000000"/>
                <w:sz w:val="24"/>
                <w:szCs w:val="24"/>
                <w:lang w:eastAsia="en-IN"/>
              </w:rPr>
              <w:t xml:space="preserve">gainst </w:t>
            </w:r>
            <w:r>
              <w:rPr>
                <w:rFonts w:eastAsia="Times New Roman" w:cstheme="minorHAnsi"/>
                <w:color w:val="000000"/>
                <w:sz w:val="24"/>
                <w:szCs w:val="24"/>
                <w:lang w:eastAsia="en-IN"/>
              </w:rPr>
              <w:t>D</w:t>
            </w:r>
            <w:r w:rsidRPr="00AE0294">
              <w:rPr>
                <w:rFonts w:eastAsia="Times New Roman" w:cstheme="minorHAnsi"/>
                <w:color w:val="000000"/>
                <w:sz w:val="24"/>
                <w:szCs w:val="24"/>
                <w:lang w:eastAsia="en-IN"/>
              </w:rPr>
              <w:t xml:space="preserve">epreciation </w:t>
            </w:r>
          </w:p>
        </w:tc>
        <w:tc>
          <w:tcPr>
            <w:tcW w:w="4000" w:type="dxa"/>
            <w:gridSpan w:val="3"/>
            <w:vMerge w:val="restart"/>
            <w:tcBorders>
              <w:top w:val="nil"/>
              <w:left w:val="nil"/>
              <w:right w:val="single" w:sz="4" w:space="0" w:color="auto"/>
            </w:tcBorders>
            <w:shd w:val="clear" w:color="auto" w:fill="auto"/>
            <w:noWrap/>
            <w:vAlign w:val="center"/>
          </w:tcPr>
          <w:p w:rsidR="009B3570" w:rsidRPr="00AE0294" w:rsidRDefault="009B3570" w:rsidP="000712F9">
            <w:pPr>
              <w:spacing w:after="0" w:line="240" w:lineRule="auto"/>
              <w:jc w:val="center"/>
              <w:rPr>
                <w:rFonts w:eastAsia="Times New Roman" w:cstheme="minorHAnsi"/>
                <w:color w:val="000000"/>
                <w:sz w:val="24"/>
                <w:szCs w:val="24"/>
                <w:lang w:eastAsia="en-IN"/>
              </w:rPr>
            </w:pPr>
            <w:r>
              <w:rPr>
                <w:rFonts w:eastAsia="Times New Roman" w:cstheme="minorHAnsi"/>
                <w:color w:val="000000"/>
                <w:sz w:val="24"/>
                <w:szCs w:val="24"/>
                <w:lang w:eastAsia="en-IN"/>
              </w:rPr>
              <w:t>Financial Impact of these issues has been taken into account while claiming True up of Depreciation and RoCE</w:t>
            </w:r>
          </w:p>
        </w:tc>
      </w:tr>
      <w:tr w:rsidR="009B3570" w:rsidRPr="00AE0294" w:rsidTr="00FA000A">
        <w:trPr>
          <w:trHeight w:val="57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9B3570" w:rsidRPr="00AE0294" w:rsidRDefault="009B3570" w:rsidP="000712F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13</w:t>
            </w:r>
          </w:p>
        </w:tc>
        <w:tc>
          <w:tcPr>
            <w:tcW w:w="3551" w:type="dxa"/>
            <w:tcBorders>
              <w:top w:val="nil"/>
              <w:left w:val="nil"/>
              <w:bottom w:val="single" w:sz="4" w:space="0" w:color="auto"/>
              <w:right w:val="single" w:sz="4" w:space="0" w:color="auto"/>
            </w:tcBorders>
            <w:shd w:val="clear" w:color="auto" w:fill="auto"/>
            <w:vAlign w:val="center"/>
            <w:hideMark/>
          </w:tcPr>
          <w:p w:rsidR="009B3570" w:rsidRPr="00AE0294" w:rsidRDefault="009B3570" w:rsidP="000712F9">
            <w:pPr>
              <w:spacing w:after="0" w:line="240" w:lineRule="auto"/>
              <w:jc w:val="both"/>
              <w:rPr>
                <w:rFonts w:eastAsia="Times New Roman" w:cstheme="minorHAnsi"/>
                <w:color w:val="000000"/>
                <w:sz w:val="24"/>
                <w:szCs w:val="24"/>
                <w:lang w:eastAsia="en-IN"/>
              </w:rPr>
            </w:pPr>
            <w:r w:rsidRPr="00AE0294">
              <w:rPr>
                <w:rFonts w:eastAsia="Times New Roman" w:cstheme="minorHAnsi"/>
                <w:color w:val="000000"/>
                <w:sz w:val="24"/>
                <w:szCs w:val="24"/>
                <w:lang w:eastAsia="en-IN"/>
              </w:rPr>
              <w:t>Computation of working capital for the previous period</w:t>
            </w:r>
          </w:p>
        </w:tc>
        <w:tc>
          <w:tcPr>
            <w:tcW w:w="4000" w:type="dxa"/>
            <w:gridSpan w:val="3"/>
            <w:vMerge/>
            <w:tcBorders>
              <w:left w:val="nil"/>
              <w:right w:val="single" w:sz="4" w:space="0" w:color="auto"/>
            </w:tcBorders>
            <w:shd w:val="clear" w:color="auto" w:fill="auto"/>
            <w:noWrap/>
            <w:vAlign w:val="center"/>
            <w:hideMark/>
          </w:tcPr>
          <w:p w:rsidR="009B3570" w:rsidRPr="00AE0294" w:rsidRDefault="009B3570" w:rsidP="000712F9">
            <w:pPr>
              <w:spacing w:after="0" w:line="240" w:lineRule="auto"/>
              <w:jc w:val="center"/>
              <w:rPr>
                <w:rFonts w:eastAsia="Times New Roman" w:cstheme="minorHAnsi"/>
                <w:color w:val="000000"/>
                <w:sz w:val="24"/>
                <w:szCs w:val="24"/>
                <w:lang w:eastAsia="en-IN"/>
              </w:rPr>
            </w:pPr>
          </w:p>
        </w:tc>
      </w:tr>
      <w:tr w:rsidR="009B3570" w:rsidRPr="00AE0294" w:rsidTr="00FA000A">
        <w:trPr>
          <w:trHeight w:val="855"/>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9B3570" w:rsidRPr="00AE0294" w:rsidRDefault="009B3570" w:rsidP="000712F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14</w:t>
            </w:r>
          </w:p>
        </w:tc>
        <w:tc>
          <w:tcPr>
            <w:tcW w:w="3551" w:type="dxa"/>
            <w:tcBorders>
              <w:top w:val="nil"/>
              <w:left w:val="nil"/>
              <w:bottom w:val="single" w:sz="4" w:space="0" w:color="auto"/>
              <w:right w:val="single" w:sz="4" w:space="0" w:color="auto"/>
            </w:tcBorders>
            <w:shd w:val="clear" w:color="auto" w:fill="auto"/>
            <w:vAlign w:val="center"/>
            <w:hideMark/>
          </w:tcPr>
          <w:p w:rsidR="009B3570" w:rsidRPr="00AE0294" w:rsidRDefault="009B3570" w:rsidP="000712F9">
            <w:pPr>
              <w:spacing w:after="0" w:line="240" w:lineRule="auto"/>
              <w:jc w:val="both"/>
              <w:rPr>
                <w:rFonts w:eastAsia="Times New Roman" w:cstheme="minorHAnsi"/>
                <w:color w:val="000000"/>
                <w:sz w:val="24"/>
                <w:szCs w:val="24"/>
                <w:lang w:eastAsia="en-IN"/>
              </w:rPr>
            </w:pPr>
            <w:r w:rsidRPr="00AE0294">
              <w:rPr>
                <w:rFonts w:eastAsia="Times New Roman" w:cstheme="minorHAnsi"/>
                <w:color w:val="000000"/>
                <w:sz w:val="24"/>
                <w:szCs w:val="24"/>
                <w:lang w:eastAsia="en-IN"/>
              </w:rPr>
              <w:t>Disallowance of provisions on acccount of 7</w:t>
            </w:r>
            <w:r w:rsidRPr="009B3570">
              <w:rPr>
                <w:rFonts w:eastAsia="Times New Roman" w:cstheme="minorHAnsi"/>
                <w:color w:val="000000"/>
                <w:sz w:val="24"/>
                <w:szCs w:val="24"/>
                <w:vertAlign w:val="superscript"/>
                <w:lang w:eastAsia="en-IN"/>
              </w:rPr>
              <w:t>th</w:t>
            </w:r>
            <w:r>
              <w:rPr>
                <w:rFonts w:eastAsia="Times New Roman" w:cstheme="minorHAnsi"/>
                <w:color w:val="000000"/>
                <w:sz w:val="24"/>
                <w:szCs w:val="24"/>
                <w:lang w:eastAsia="en-IN"/>
              </w:rPr>
              <w:t xml:space="preserve"> </w:t>
            </w:r>
            <w:r w:rsidRPr="00AE0294">
              <w:rPr>
                <w:rFonts w:eastAsia="Times New Roman" w:cstheme="minorHAnsi"/>
                <w:color w:val="000000"/>
                <w:sz w:val="24"/>
                <w:szCs w:val="24"/>
                <w:lang w:eastAsia="en-IN"/>
              </w:rPr>
              <w:t>pay commission in capitalization for</w:t>
            </w:r>
            <w:r>
              <w:rPr>
                <w:rFonts w:eastAsia="Times New Roman" w:cstheme="minorHAnsi"/>
                <w:color w:val="000000"/>
                <w:sz w:val="24"/>
                <w:szCs w:val="24"/>
                <w:lang w:eastAsia="en-IN"/>
              </w:rPr>
              <w:t xml:space="preserve"> FY</w:t>
            </w:r>
            <w:r w:rsidRPr="00AE0294">
              <w:rPr>
                <w:rFonts w:eastAsia="Times New Roman" w:cstheme="minorHAnsi"/>
                <w:color w:val="000000"/>
                <w:sz w:val="24"/>
                <w:szCs w:val="24"/>
                <w:lang w:eastAsia="en-IN"/>
              </w:rPr>
              <w:t xml:space="preserve"> 2017-18 to </w:t>
            </w:r>
            <w:r>
              <w:rPr>
                <w:rFonts w:eastAsia="Times New Roman" w:cstheme="minorHAnsi"/>
                <w:color w:val="000000"/>
                <w:sz w:val="24"/>
                <w:szCs w:val="24"/>
                <w:lang w:eastAsia="en-IN"/>
              </w:rPr>
              <w:t xml:space="preserve">FY </w:t>
            </w:r>
            <w:r w:rsidRPr="00AE0294">
              <w:rPr>
                <w:rFonts w:eastAsia="Times New Roman" w:cstheme="minorHAnsi"/>
                <w:color w:val="000000"/>
                <w:sz w:val="24"/>
                <w:szCs w:val="24"/>
                <w:lang w:eastAsia="en-IN"/>
              </w:rPr>
              <w:t>2019-20</w:t>
            </w:r>
          </w:p>
        </w:tc>
        <w:tc>
          <w:tcPr>
            <w:tcW w:w="4000" w:type="dxa"/>
            <w:gridSpan w:val="3"/>
            <w:vMerge/>
            <w:tcBorders>
              <w:left w:val="nil"/>
              <w:right w:val="single" w:sz="4" w:space="0" w:color="auto"/>
            </w:tcBorders>
            <w:shd w:val="clear" w:color="auto" w:fill="auto"/>
            <w:noWrap/>
            <w:vAlign w:val="center"/>
            <w:hideMark/>
          </w:tcPr>
          <w:p w:rsidR="009B3570" w:rsidRPr="00AE0294" w:rsidRDefault="009B3570" w:rsidP="000712F9">
            <w:pPr>
              <w:spacing w:after="0" w:line="240" w:lineRule="auto"/>
              <w:jc w:val="center"/>
              <w:rPr>
                <w:rFonts w:eastAsia="Times New Roman" w:cstheme="minorHAnsi"/>
                <w:color w:val="000000"/>
                <w:sz w:val="24"/>
                <w:szCs w:val="24"/>
                <w:lang w:eastAsia="en-IN"/>
              </w:rPr>
            </w:pPr>
          </w:p>
        </w:tc>
      </w:tr>
      <w:tr w:rsidR="009B3570" w:rsidRPr="00AE0294" w:rsidTr="00FA000A">
        <w:trPr>
          <w:trHeight w:val="114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9B3570" w:rsidRPr="00AE0294" w:rsidRDefault="009B3570" w:rsidP="000712F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15</w:t>
            </w:r>
          </w:p>
        </w:tc>
        <w:tc>
          <w:tcPr>
            <w:tcW w:w="3551" w:type="dxa"/>
            <w:tcBorders>
              <w:top w:val="nil"/>
              <w:left w:val="nil"/>
              <w:bottom w:val="single" w:sz="4" w:space="0" w:color="auto"/>
              <w:right w:val="single" w:sz="4" w:space="0" w:color="auto"/>
            </w:tcBorders>
            <w:shd w:val="clear" w:color="auto" w:fill="auto"/>
            <w:vAlign w:val="center"/>
            <w:hideMark/>
          </w:tcPr>
          <w:p w:rsidR="009B3570" w:rsidRPr="00AE0294" w:rsidRDefault="009B3570" w:rsidP="000712F9">
            <w:pPr>
              <w:spacing w:after="0" w:line="240" w:lineRule="auto"/>
              <w:jc w:val="both"/>
              <w:rPr>
                <w:rFonts w:eastAsia="Times New Roman" w:cstheme="minorHAnsi"/>
                <w:color w:val="000000"/>
                <w:sz w:val="24"/>
                <w:szCs w:val="24"/>
                <w:lang w:eastAsia="en-IN"/>
              </w:rPr>
            </w:pPr>
            <w:r w:rsidRPr="00AE0294">
              <w:rPr>
                <w:rFonts w:eastAsia="Times New Roman" w:cstheme="minorHAnsi"/>
                <w:color w:val="000000"/>
                <w:sz w:val="24"/>
                <w:szCs w:val="24"/>
                <w:lang w:eastAsia="en-IN"/>
              </w:rPr>
              <w:t>Incorrect consideration of consumer contribution amount capatalized for computation of regulated rate base (</w:t>
            </w:r>
            <w:r>
              <w:rPr>
                <w:rFonts w:eastAsia="Times New Roman" w:cstheme="minorHAnsi"/>
                <w:color w:val="000000"/>
                <w:sz w:val="24"/>
                <w:szCs w:val="24"/>
                <w:lang w:eastAsia="en-IN"/>
              </w:rPr>
              <w:t>RRB</w:t>
            </w:r>
            <w:r w:rsidRPr="00AE0294">
              <w:rPr>
                <w:rFonts w:eastAsia="Times New Roman" w:cstheme="minorHAnsi"/>
                <w:color w:val="000000"/>
                <w:sz w:val="24"/>
                <w:szCs w:val="24"/>
                <w:lang w:eastAsia="en-IN"/>
              </w:rPr>
              <w:t>)</w:t>
            </w:r>
          </w:p>
        </w:tc>
        <w:tc>
          <w:tcPr>
            <w:tcW w:w="4000" w:type="dxa"/>
            <w:gridSpan w:val="3"/>
            <w:vMerge/>
            <w:tcBorders>
              <w:left w:val="nil"/>
              <w:right w:val="single" w:sz="4" w:space="0" w:color="auto"/>
            </w:tcBorders>
            <w:shd w:val="clear" w:color="auto" w:fill="auto"/>
            <w:noWrap/>
            <w:vAlign w:val="center"/>
            <w:hideMark/>
          </w:tcPr>
          <w:p w:rsidR="009B3570" w:rsidRPr="00AE0294" w:rsidRDefault="009B3570" w:rsidP="000712F9">
            <w:pPr>
              <w:spacing w:after="0" w:line="240" w:lineRule="auto"/>
              <w:jc w:val="center"/>
              <w:rPr>
                <w:rFonts w:eastAsia="Times New Roman" w:cstheme="minorHAnsi"/>
                <w:color w:val="000000"/>
                <w:sz w:val="24"/>
                <w:szCs w:val="24"/>
                <w:lang w:eastAsia="en-IN"/>
              </w:rPr>
            </w:pPr>
          </w:p>
        </w:tc>
      </w:tr>
      <w:tr w:rsidR="009B3570" w:rsidRPr="00AE0294" w:rsidTr="00FA000A">
        <w:trPr>
          <w:trHeight w:val="570"/>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9B3570" w:rsidRPr="00AE0294" w:rsidRDefault="009B3570" w:rsidP="000712F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16</w:t>
            </w:r>
          </w:p>
        </w:tc>
        <w:tc>
          <w:tcPr>
            <w:tcW w:w="3551" w:type="dxa"/>
            <w:tcBorders>
              <w:top w:val="nil"/>
              <w:left w:val="nil"/>
              <w:bottom w:val="single" w:sz="4" w:space="0" w:color="auto"/>
              <w:right w:val="single" w:sz="4" w:space="0" w:color="auto"/>
            </w:tcBorders>
            <w:shd w:val="clear" w:color="auto" w:fill="auto"/>
            <w:vAlign w:val="center"/>
            <w:hideMark/>
          </w:tcPr>
          <w:p w:rsidR="009B3570" w:rsidRPr="00AE0294" w:rsidRDefault="009B3570" w:rsidP="000712F9">
            <w:pPr>
              <w:spacing w:after="0" w:line="240" w:lineRule="auto"/>
              <w:jc w:val="both"/>
              <w:rPr>
                <w:rFonts w:eastAsia="Times New Roman" w:cstheme="minorHAnsi"/>
                <w:color w:val="000000"/>
                <w:sz w:val="24"/>
                <w:szCs w:val="24"/>
                <w:lang w:eastAsia="en-IN"/>
              </w:rPr>
            </w:pPr>
            <w:r w:rsidRPr="00AE0294">
              <w:rPr>
                <w:rFonts w:eastAsia="Times New Roman" w:cstheme="minorHAnsi"/>
                <w:color w:val="000000"/>
                <w:sz w:val="24"/>
                <w:szCs w:val="24"/>
                <w:lang w:eastAsia="en-IN"/>
              </w:rPr>
              <w:t xml:space="preserve">Incorrect truing up of working capital interest rates for </w:t>
            </w:r>
            <w:r>
              <w:rPr>
                <w:rFonts w:eastAsia="Times New Roman" w:cstheme="minorHAnsi"/>
                <w:color w:val="000000"/>
                <w:sz w:val="24"/>
                <w:szCs w:val="24"/>
                <w:lang w:eastAsia="en-IN"/>
              </w:rPr>
              <w:t>FY</w:t>
            </w:r>
            <w:r w:rsidRPr="00AE0294">
              <w:rPr>
                <w:rFonts w:eastAsia="Times New Roman" w:cstheme="minorHAnsi"/>
                <w:color w:val="000000"/>
                <w:sz w:val="24"/>
                <w:szCs w:val="24"/>
                <w:lang w:eastAsia="en-IN"/>
              </w:rPr>
              <w:t xml:space="preserve"> 17-18 till </w:t>
            </w:r>
            <w:r>
              <w:rPr>
                <w:rFonts w:eastAsia="Times New Roman" w:cstheme="minorHAnsi"/>
                <w:color w:val="000000"/>
                <w:sz w:val="24"/>
                <w:szCs w:val="24"/>
                <w:lang w:eastAsia="en-IN"/>
              </w:rPr>
              <w:t xml:space="preserve">FY </w:t>
            </w:r>
            <w:r w:rsidRPr="00AE0294">
              <w:rPr>
                <w:rFonts w:eastAsia="Times New Roman" w:cstheme="minorHAnsi"/>
                <w:color w:val="000000"/>
                <w:sz w:val="24"/>
                <w:szCs w:val="24"/>
                <w:lang w:eastAsia="en-IN"/>
              </w:rPr>
              <w:t>2019-20</w:t>
            </w:r>
          </w:p>
        </w:tc>
        <w:tc>
          <w:tcPr>
            <w:tcW w:w="4000" w:type="dxa"/>
            <w:gridSpan w:val="3"/>
            <w:vMerge/>
            <w:tcBorders>
              <w:left w:val="nil"/>
              <w:bottom w:val="single" w:sz="4" w:space="0" w:color="auto"/>
              <w:right w:val="single" w:sz="4" w:space="0" w:color="auto"/>
            </w:tcBorders>
            <w:shd w:val="clear" w:color="auto" w:fill="auto"/>
            <w:noWrap/>
            <w:vAlign w:val="center"/>
            <w:hideMark/>
          </w:tcPr>
          <w:p w:rsidR="009B3570" w:rsidRPr="00AE0294" w:rsidRDefault="009B3570" w:rsidP="000712F9">
            <w:pPr>
              <w:spacing w:after="0" w:line="240" w:lineRule="auto"/>
              <w:jc w:val="center"/>
              <w:rPr>
                <w:rFonts w:eastAsia="Times New Roman" w:cstheme="minorHAnsi"/>
                <w:color w:val="000000"/>
                <w:sz w:val="24"/>
                <w:szCs w:val="24"/>
                <w:lang w:eastAsia="en-IN"/>
              </w:rPr>
            </w:pPr>
          </w:p>
        </w:tc>
      </w:tr>
      <w:tr w:rsidR="006812F7" w:rsidRPr="00AE0294" w:rsidTr="006812F7">
        <w:trPr>
          <w:trHeight w:val="33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6812F7" w:rsidRPr="008654B0" w:rsidRDefault="008654B0" w:rsidP="000712F9">
            <w:pPr>
              <w:spacing w:after="0" w:line="240" w:lineRule="auto"/>
              <w:jc w:val="center"/>
              <w:rPr>
                <w:rFonts w:eastAsia="Times New Roman" w:cstheme="minorHAnsi"/>
                <w:b/>
                <w:color w:val="000000"/>
                <w:sz w:val="24"/>
                <w:szCs w:val="24"/>
                <w:lang w:eastAsia="en-IN"/>
              </w:rPr>
            </w:pPr>
            <w:r w:rsidRPr="008654B0">
              <w:rPr>
                <w:rFonts w:eastAsia="Times New Roman" w:cstheme="minorHAnsi"/>
                <w:b/>
                <w:color w:val="000000"/>
                <w:sz w:val="24"/>
                <w:szCs w:val="24"/>
                <w:lang w:eastAsia="en-IN"/>
              </w:rPr>
              <w:t>C</w:t>
            </w:r>
          </w:p>
        </w:tc>
        <w:tc>
          <w:tcPr>
            <w:tcW w:w="3551" w:type="dxa"/>
            <w:tcBorders>
              <w:top w:val="nil"/>
              <w:left w:val="nil"/>
              <w:bottom w:val="single" w:sz="4" w:space="0" w:color="auto"/>
              <w:right w:val="single" w:sz="4" w:space="0" w:color="auto"/>
            </w:tcBorders>
            <w:shd w:val="clear" w:color="auto" w:fill="auto"/>
            <w:vAlign w:val="center"/>
            <w:hideMark/>
          </w:tcPr>
          <w:p w:rsidR="006812F7" w:rsidRPr="00AE0294" w:rsidRDefault="008654B0" w:rsidP="000712F9">
            <w:pPr>
              <w:spacing w:after="0" w:line="240" w:lineRule="auto"/>
              <w:jc w:val="both"/>
              <w:rPr>
                <w:rFonts w:eastAsia="Times New Roman" w:cstheme="minorHAnsi"/>
                <w:b/>
                <w:bCs/>
                <w:color w:val="000000"/>
                <w:sz w:val="24"/>
                <w:szCs w:val="24"/>
                <w:lang w:eastAsia="en-IN"/>
              </w:rPr>
            </w:pPr>
            <w:r>
              <w:rPr>
                <w:rFonts w:eastAsia="Times New Roman" w:cstheme="minorHAnsi"/>
                <w:b/>
                <w:bCs/>
                <w:color w:val="000000"/>
                <w:sz w:val="24"/>
                <w:szCs w:val="24"/>
                <w:lang w:eastAsia="en-IN"/>
              </w:rPr>
              <w:t>O&amp;M</w:t>
            </w:r>
          </w:p>
        </w:tc>
        <w:tc>
          <w:tcPr>
            <w:tcW w:w="1360" w:type="dxa"/>
            <w:tcBorders>
              <w:top w:val="nil"/>
              <w:left w:val="nil"/>
              <w:bottom w:val="single" w:sz="4" w:space="0" w:color="auto"/>
              <w:right w:val="single" w:sz="4" w:space="0" w:color="auto"/>
            </w:tcBorders>
            <w:shd w:val="clear" w:color="auto" w:fill="auto"/>
            <w:noWrap/>
            <w:vAlign w:val="center"/>
            <w:hideMark/>
          </w:tcPr>
          <w:p w:rsidR="006812F7" w:rsidRPr="00AE0294" w:rsidRDefault="006812F7" w:rsidP="000712F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 </w:t>
            </w:r>
          </w:p>
        </w:tc>
        <w:tc>
          <w:tcPr>
            <w:tcW w:w="1360" w:type="dxa"/>
            <w:tcBorders>
              <w:top w:val="nil"/>
              <w:left w:val="nil"/>
              <w:bottom w:val="single" w:sz="4" w:space="0" w:color="auto"/>
              <w:right w:val="single" w:sz="4" w:space="0" w:color="auto"/>
            </w:tcBorders>
            <w:shd w:val="clear" w:color="auto" w:fill="auto"/>
            <w:noWrap/>
            <w:vAlign w:val="center"/>
            <w:hideMark/>
          </w:tcPr>
          <w:p w:rsidR="006812F7" w:rsidRPr="00AE0294" w:rsidRDefault="006812F7" w:rsidP="000712F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 </w:t>
            </w:r>
          </w:p>
        </w:tc>
        <w:tc>
          <w:tcPr>
            <w:tcW w:w="1280" w:type="dxa"/>
            <w:tcBorders>
              <w:top w:val="nil"/>
              <w:left w:val="nil"/>
              <w:bottom w:val="single" w:sz="4" w:space="0" w:color="auto"/>
              <w:right w:val="single" w:sz="4" w:space="0" w:color="auto"/>
            </w:tcBorders>
            <w:shd w:val="clear" w:color="auto" w:fill="auto"/>
            <w:noWrap/>
            <w:vAlign w:val="center"/>
            <w:hideMark/>
          </w:tcPr>
          <w:p w:rsidR="006812F7" w:rsidRPr="00AE0294" w:rsidRDefault="006812F7" w:rsidP="000712F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 </w:t>
            </w:r>
          </w:p>
        </w:tc>
      </w:tr>
      <w:tr w:rsidR="006812F7" w:rsidRPr="00AE0294" w:rsidTr="006812F7">
        <w:trPr>
          <w:trHeight w:val="330"/>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6812F7" w:rsidRPr="00AE0294" w:rsidRDefault="006812F7" w:rsidP="000712F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17</w:t>
            </w:r>
          </w:p>
        </w:tc>
        <w:tc>
          <w:tcPr>
            <w:tcW w:w="3551" w:type="dxa"/>
            <w:tcBorders>
              <w:top w:val="nil"/>
              <w:left w:val="nil"/>
              <w:bottom w:val="single" w:sz="4" w:space="0" w:color="auto"/>
              <w:right w:val="single" w:sz="4" w:space="0" w:color="auto"/>
            </w:tcBorders>
            <w:shd w:val="clear" w:color="auto" w:fill="auto"/>
            <w:vAlign w:val="center"/>
            <w:hideMark/>
          </w:tcPr>
          <w:p w:rsidR="006812F7" w:rsidRPr="00AE0294" w:rsidRDefault="00DE77D9" w:rsidP="000712F9">
            <w:pPr>
              <w:spacing w:after="0" w:line="240" w:lineRule="auto"/>
              <w:jc w:val="both"/>
              <w:rPr>
                <w:rFonts w:eastAsia="Times New Roman" w:cstheme="minorHAnsi"/>
                <w:color w:val="000000"/>
                <w:sz w:val="24"/>
                <w:szCs w:val="24"/>
                <w:lang w:eastAsia="en-IN"/>
              </w:rPr>
            </w:pPr>
            <w:r w:rsidRPr="00AE0294">
              <w:rPr>
                <w:rFonts w:eastAsia="Times New Roman" w:cstheme="minorHAnsi"/>
                <w:color w:val="000000"/>
                <w:sz w:val="24"/>
                <w:szCs w:val="24"/>
                <w:lang w:eastAsia="en-IN"/>
              </w:rPr>
              <w:t xml:space="preserve">Ombudsman fees </w:t>
            </w:r>
          </w:p>
        </w:tc>
        <w:tc>
          <w:tcPr>
            <w:tcW w:w="1360" w:type="dxa"/>
            <w:tcBorders>
              <w:top w:val="nil"/>
              <w:left w:val="nil"/>
              <w:bottom w:val="single" w:sz="4" w:space="0" w:color="auto"/>
              <w:right w:val="single" w:sz="4" w:space="0" w:color="auto"/>
            </w:tcBorders>
            <w:shd w:val="clear" w:color="auto" w:fill="auto"/>
            <w:noWrap/>
            <w:vAlign w:val="center"/>
            <w:hideMark/>
          </w:tcPr>
          <w:p w:rsidR="006812F7" w:rsidRPr="00AE0294" w:rsidRDefault="006812F7" w:rsidP="000712F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0.2</w:t>
            </w:r>
          </w:p>
        </w:tc>
        <w:tc>
          <w:tcPr>
            <w:tcW w:w="1360" w:type="dxa"/>
            <w:tcBorders>
              <w:top w:val="nil"/>
              <w:left w:val="nil"/>
              <w:bottom w:val="single" w:sz="4" w:space="0" w:color="auto"/>
              <w:right w:val="single" w:sz="4" w:space="0" w:color="auto"/>
            </w:tcBorders>
            <w:shd w:val="clear" w:color="auto" w:fill="auto"/>
            <w:noWrap/>
            <w:vAlign w:val="center"/>
            <w:hideMark/>
          </w:tcPr>
          <w:p w:rsidR="006812F7" w:rsidRPr="00AE0294" w:rsidRDefault="006812F7" w:rsidP="000712F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0.1</w:t>
            </w:r>
          </w:p>
        </w:tc>
        <w:tc>
          <w:tcPr>
            <w:tcW w:w="1280" w:type="dxa"/>
            <w:tcBorders>
              <w:top w:val="nil"/>
              <w:left w:val="nil"/>
              <w:bottom w:val="single" w:sz="4" w:space="0" w:color="auto"/>
              <w:right w:val="single" w:sz="4" w:space="0" w:color="auto"/>
            </w:tcBorders>
            <w:shd w:val="clear" w:color="auto" w:fill="auto"/>
            <w:noWrap/>
            <w:vAlign w:val="center"/>
            <w:hideMark/>
          </w:tcPr>
          <w:p w:rsidR="006812F7" w:rsidRPr="00AE0294" w:rsidRDefault="006812F7" w:rsidP="000712F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0.3</w:t>
            </w:r>
          </w:p>
        </w:tc>
      </w:tr>
      <w:tr w:rsidR="006812F7" w:rsidRPr="00AE0294" w:rsidTr="006812F7">
        <w:trPr>
          <w:trHeight w:val="330"/>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6812F7" w:rsidRPr="00C42457" w:rsidRDefault="006812F7" w:rsidP="000712F9">
            <w:pPr>
              <w:spacing w:after="0" w:line="240" w:lineRule="auto"/>
              <w:jc w:val="center"/>
              <w:rPr>
                <w:rFonts w:eastAsia="Times New Roman" w:cstheme="minorHAnsi"/>
                <w:b/>
                <w:color w:val="000000"/>
                <w:sz w:val="24"/>
                <w:szCs w:val="24"/>
                <w:lang w:eastAsia="en-IN"/>
              </w:rPr>
            </w:pPr>
            <w:r w:rsidRPr="00C42457">
              <w:rPr>
                <w:rFonts w:eastAsia="Times New Roman" w:cstheme="minorHAnsi"/>
                <w:b/>
                <w:color w:val="000000"/>
                <w:sz w:val="24"/>
                <w:szCs w:val="24"/>
                <w:lang w:eastAsia="en-IN"/>
              </w:rPr>
              <w:t> </w:t>
            </w:r>
            <w:r w:rsidR="00C42457" w:rsidRPr="00C42457">
              <w:rPr>
                <w:rFonts w:eastAsia="Times New Roman" w:cstheme="minorHAnsi"/>
                <w:b/>
                <w:color w:val="000000"/>
                <w:sz w:val="24"/>
                <w:szCs w:val="24"/>
                <w:lang w:eastAsia="en-IN"/>
              </w:rPr>
              <w:t>D</w:t>
            </w:r>
          </w:p>
        </w:tc>
        <w:tc>
          <w:tcPr>
            <w:tcW w:w="3551" w:type="dxa"/>
            <w:tcBorders>
              <w:top w:val="nil"/>
              <w:left w:val="nil"/>
              <w:bottom w:val="single" w:sz="4" w:space="0" w:color="auto"/>
              <w:right w:val="single" w:sz="4" w:space="0" w:color="auto"/>
            </w:tcBorders>
            <w:shd w:val="clear" w:color="auto" w:fill="auto"/>
            <w:vAlign w:val="center"/>
            <w:hideMark/>
          </w:tcPr>
          <w:p w:rsidR="006812F7" w:rsidRPr="00AE0294" w:rsidRDefault="00DE77D9" w:rsidP="000712F9">
            <w:pPr>
              <w:spacing w:after="0" w:line="240" w:lineRule="auto"/>
              <w:jc w:val="both"/>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Non tariff income</w:t>
            </w:r>
          </w:p>
        </w:tc>
        <w:tc>
          <w:tcPr>
            <w:tcW w:w="1360" w:type="dxa"/>
            <w:tcBorders>
              <w:top w:val="nil"/>
              <w:left w:val="nil"/>
              <w:bottom w:val="single" w:sz="4" w:space="0" w:color="auto"/>
              <w:right w:val="single" w:sz="4" w:space="0" w:color="auto"/>
            </w:tcBorders>
            <w:shd w:val="clear" w:color="auto" w:fill="auto"/>
            <w:noWrap/>
            <w:vAlign w:val="center"/>
            <w:hideMark/>
          </w:tcPr>
          <w:p w:rsidR="006812F7" w:rsidRPr="00AE0294" w:rsidRDefault="006812F7" w:rsidP="000712F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 </w:t>
            </w:r>
          </w:p>
        </w:tc>
        <w:tc>
          <w:tcPr>
            <w:tcW w:w="1360" w:type="dxa"/>
            <w:tcBorders>
              <w:top w:val="nil"/>
              <w:left w:val="nil"/>
              <w:bottom w:val="single" w:sz="4" w:space="0" w:color="auto"/>
              <w:right w:val="single" w:sz="4" w:space="0" w:color="auto"/>
            </w:tcBorders>
            <w:shd w:val="clear" w:color="auto" w:fill="auto"/>
            <w:noWrap/>
            <w:vAlign w:val="center"/>
            <w:hideMark/>
          </w:tcPr>
          <w:p w:rsidR="006812F7" w:rsidRPr="00AE0294" w:rsidRDefault="006812F7" w:rsidP="000712F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 </w:t>
            </w:r>
          </w:p>
        </w:tc>
        <w:tc>
          <w:tcPr>
            <w:tcW w:w="1280" w:type="dxa"/>
            <w:tcBorders>
              <w:top w:val="nil"/>
              <w:left w:val="nil"/>
              <w:bottom w:val="single" w:sz="4" w:space="0" w:color="auto"/>
              <w:right w:val="single" w:sz="4" w:space="0" w:color="auto"/>
            </w:tcBorders>
            <w:shd w:val="clear" w:color="auto" w:fill="auto"/>
            <w:noWrap/>
            <w:vAlign w:val="center"/>
            <w:hideMark/>
          </w:tcPr>
          <w:p w:rsidR="006812F7" w:rsidRPr="00AE0294" w:rsidRDefault="006812F7" w:rsidP="000712F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 </w:t>
            </w:r>
          </w:p>
        </w:tc>
      </w:tr>
      <w:tr w:rsidR="000712F9" w:rsidRPr="00AE0294" w:rsidTr="000712F9">
        <w:trPr>
          <w:trHeight w:val="33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0712F9" w:rsidRPr="00AE0294" w:rsidRDefault="000712F9" w:rsidP="000712F9">
            <w:pPr>
              <w:spacing w:after="0" w:line="240" w:lineRule="auto"/>
              <w:jc w:val="center"/>
              <w:rPr>
                <w:rFonts w:eastAsia="Times New Roman" w:cstheme="minorHAnsi"/>
                <w:color w:val="000000"/>
                <w:sz w:val="24"/>
                <w:szCs w:val="24"/>
                <w:lang w:eastAsia="en-IN"/>
              </w:rPr>
            </w:pPr>
            <w:r>
              <w:rPr>
                <w:rFonts w:eastAsia="Times New Roman" w:cstheme="minorHAnsi"/>
                <w:color w:val="000000"/>
                <w:sz w:val="24"/>
                <w:szCs w:val="24"/>
                <w:lang w:eastAsia="en-IN"/>
              </w:rPr>
              <w:t>18</w:t>
            </w:r>
          </w:p>
        </w:tc>
        <w:tc>
          <w:tcPr>
            <w:tcW w:w="3551" w:type="dxa"/>
            <w:tcBorders>
              <w:top w:val="nil"/>
              <w:left w:val="nil"/>
              <w:bottom w:val="single" w:sz="4" w:space="0" w:color="auto"/>
              <w:right w:val="single" w:sz="4" w:space="0" w:color="auto"/>
            </w:tcBorders>
            <w:shd w:val="clear" w:color="auto" w:fill="auto"/>
            <w:vAlign w:val="center"/>
            <w:hideMark/>
          </w:tcPr>
          <w:p w:rsidR="000712F9" w:rsidRPr="00AE0294" w:rsidRDefault="000712F9" w:rsidP="000712F9">
            <w:pPr>
              <w:spacing w:after="0" w:line="240" w:lineRule="auto"/>
              <w:jc w:val="both"/>
              <w:rPr>
                <w:rFonts w:eastAsia="Times New Roman" w:cstheme="minorHAnsi"/>
                <w:color w:val="000000"/>
                <w:sz w:val="24"/>
                <w:szCs w:val="24"/>
                <w:lang w:eastAsia="en-IN"/>
              </w:rPr>
            </w:pPr>
            <w:r w:rsidRPr="00AE0294">
              <w:rPr>
                <w:rFonts w:eastAsia="Times New Roman" w:cstheme="minorHAnsi"/>
                <w:color w:val="000000"/>
                <w:sz w:val="24"/>
                <w:szCs w:val="24"/>
                <w:lang w:eastAsia="en-IN"/>
              </w:rPr>
              <w:t>Consideration of revenue from Sale of scrap as NTI</w:t>
            </w:r>
          </w:p>
        </w:tc>
        <w:tc>
          <w:tcPr>
            <w:tcW w:w="136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25</w:t>
            </w:r>
          </w:p>
        </w:tc>
        <w:tc>
          <w:tcPr>
            <w:tcW w:w="136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38</w:t>
            </w:r>
          </w:p>
        </w:tc>
        <w:tc>
          <w:tcPr>
            <w:tcW w:w="128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63</w:t>
            </w:r>
          </w:p>
        </w:tc>
      </w:tr>
      <w:tr w:rsidR="000712F9" w:rsidRPr="00AE0294" w:rsidTr="000712F9">
        <w:trPr>
          <w:trHeight w:val="665"/>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0712F9" w:rsidRPr="00AE0294" w:rsidRDefault="000712F9" w:rsidP="000712F9">
            <w:pPr>
              <w:spacing w:after="0" w:line="240" w:lineRule="auto"/>
              <w:jc w:val="center"/>
              <w:rPr>
                <w:rFonts w:eastAsia="Times New Roman" w:cstheme="minorHAnsi"/>
                <w:color w:val="000000"/>
                <w:sz w:val="24"/>
                <w:szCs w:val="24"/>
                <w:lang w:eastAsia="en-IN"/>
              </w:rPr>
            </w:pPr>
            <w:r>
              <w:rPr>
                <w:rFonts w:eastAsia="Times New Roman" w:cstheme="minorHAnsi"/>
                <w:color w:val="000000"/>
                <w:sz w:val="24"/>
                <w:szCs w:val="24"/>
                <w:lang w:eastAsia="en-IN"/>
              </w:rPr>
              <w:t>19</w:t>
            </w:r>
          </w:p>
        </w:tc>
        <w:tc>
          <w:tcPr>
            <w:tcW w:w="3551" w:type="dxa"/>
            <w:tcBorders>
              <w:top w:val="nil"/>
              <w:left w:val="nil"/>
              <w:bottom w:val="single" w:sz="4" w:space="0" w:color="auto"/>
              <w:right w:val="single" w:sz="4" w:space="0" w:color="auto"/>
            </w:tcBorders>
            <w:shd w:val="clear" w:color="auto" w:fill="auto"/>
            <w:vAlign w:val="center"/>
            <w:hideMark/>
          </w:tcPr>
          <w:p w:rsidR="000712F9" w:rsidRPr="00AE0294" w:rsidRDefault="000712F9" w:rsidP="000712F9">
            <w:pPr>
              <w:spacing w:after="0" w:line="240" w:lineRule="auto"/>
              <w:jc w:val="both"/>
              <w:rPr>
                <w:rFonts w:eastAsia="Times New Roman" w:cstheme="minorHAnsi"/>
                <w:color w:val="000000"/>
                <w:sz w:val="24"/>
                <w:szCs w:val="24"/>
                <w:lang w:eastAsia="en-IN"/>
              </w:rPr>
            </w:pPr>
            <w:r>
              <w:rPr>
                <w:rFonts w:eastAsia="Times New Roman" w:cstheme="minorHAnsi"/>
                <w:color w:val="000000"/>
                <w:sz w:val="24"/>
                <w:szCs w:val="24"/>
                <w:lang w:eastAsia="en-IN"/>
              </w:rPr>
              <w:t>Co</w:t>
            </w:r>
            <w:r w:rsidRPr="00AE0294">
              <w:rPr>
                <w:rFonts w:eastAsia="Times New Roman" w:cstheme="minorHAnsi"/>
                <w:color w:val="000000"/>
                <w:sz w:val="24"/>
                <w:szCs w:val="24"/>
                <w:lang w:eastAsia="en-IN"/>
              </w:rPr>
              <w:t xml:space="preserve">nsideration of collection charges </w:t>
            </w:r>
            <w:r>
              <w:rPr>
                <w:rFonts w:eastAsia="Times New Roman" w:cstheme="minorHAnsi"/>
                <w:color w:val="000000"/>
                <w:sz w:val="24"/>
                <w:szCs w:val="24"/>
                <w:lang w:eastAsia="en-IN"/>
              </w:rPr>
              <w:t>on</w:t>
            </w:r>
            <w:r w:rsidRPr="00AE0294">
              <w:rPr>
                <w:rFonts w:eastAsia="Times New Roman" w:cstheme="minorHAnsi"/>
                <w:color w:val="000000"/>
                <w:sz w:val="24"/>
                <w:szCs w:val="24"/>
                <w:lang w:eastAsia="en-IN"/>
              </w:rPr>
              <w:t xml:space="preserve"> </w:t>
            </w:r>
            <w:r>
              <w:rPr>
                <w:rFonts w:eastAsia="Times New Roman" w:cstheme="minorHAnsi"/>
                <w:color w:val="000000"/>
                <w:sz w:val="24"/>
                <w:szCs w:val="24"/>
                <w:lang w:eastAsia="en-IN"/>
              </w:rPr>
              <w:t>Electricity Duty</w:t>
            </w:r>
            <w:r w:rsidRPr="00AE0294">
              <w:rPr>
                <w:rFonts w:eastAsia="Times New Roman" w:cstheme="minorHAnsi"/>
                <w:color w:val="000000"/>
                <w:sz w:val="24"/>
                <w:szCs w:val="24"/>
                <w:lang w:eastAsia="en-IN"/>
              </w:rPr>
              <w:t xml:space="preserve"> </w:t>
            </w:r>
            <w:r>
              <w:rPr>
                <w:rFonts w:eastAsia="Times New Roman" w:cstheme="minorHAnsi"/>
                <w:color w:val="000000"/>
                <w:sz w:val="24"/>
                <w:szCs w:val="24"/>
                <w:lang w:eastAsia="en-IN"/>
              </w:rPr>
              <w:t>as NTI</w:t>
            </w:r>
          </w:p>
        </w:tc>
        <w:tc>
          <w:tcPr>
            <w:tcW w:w="136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41</w:t>
            </w:r>
          </w:p>
        </w:tc>
        <w:tc>
          <w:tcPr>
            <w:tcW w:w="136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43</w:t>
            </w:r>
          </w:p>
        </w:tc>
        <w:tc>
          <w:tcPr>
            <w:tcW w:w="128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84</w:t>
            </w:r>
          </w:p>
        </w:tc>
      </w:tr>
      <w:tr w:rsidR="000712F9" w:rsidRPr="00AE0294" w:rsidTr="000712F9">
        <w:trPr>
          <w:trHeight w:val="570"/>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0712F9" w:rsidRPr="00AE0294" w:rsidRDefault="000712F9" w:rsidP="000712F9">
            <w:pPr>
              <w:spacing w:after="0" w:line="240" w:lineRule="auto"/>
              <w:jc w:val="center"/>
              <w:rPr>
                <w:rFonts w:eastAsia="Times New Roman" w:cstheme="minorHAnsi"/>
                <w:color w:val="000000"/>
                <w:sz w:val="24"/>
                <w:szCs w:val="24"/>
                <w:lang w:eastAsia="en-IN"/>
              </w:rPr>
            </w:pPr>
            <w:r>
              <w:rPr>
                <w:rFonts w:eastAsia="Times New Roman" w:cstheme="minorHAnsi"/>
                <w:color w:val="000000"/>
                <w:sz w:val="24"/>
                <w:szCs w:val="24"/>
                <w:lang w:eastAsia="en-IN"/>
              </w:rPr>
              <w:t>20</w:t>
            </w:r>
          </w:p>
        </w:tc>
        <w:tc>
          <w:tcPr>
            <w:tcW w:w="3551" w:type="dxa"/>
            <w:tcBorders>
              <w:top w:val="nil"/>
              <w:left w:val="nil"/>
              <w:bottom w:val="single" w:sz="4" w:space="0" w:color="auto"/>
              <w:right w:val="single" w:sz="4" w:space="0" w:color="auto"/>
            </w:tcBorders>
            <w:shd w:val="clear" w:color="auto" w:fill="auto"/>
            <w:vAlign w:val="center"/>
            <w:hideMark/>
          </w:tcPr>
          <w:p w:rsidR="000712F9" w:rsidRPr="00AE0294" w:rsidRDefault="000712F9" w:rsidP="000712F9">
            <w:pPr>
              <w:spacing w:after="0" w:line="240" w:lineRule="auto"/>
              <w:jc w:val="both"/>
              <w:rPr>
                <w:rFonts w:eastAsia="Times New Roman" w:cstheme="minorHAnsi"/>
                <w:color w:val="000000"/>
                <w:sz w:val="24"/>
                <w:szCs w:val="24"/>
                <w:lang w:eastAsia="en-IN"/>
              </w:rPr>
            </w:pPr>
            <w:r>
              <w:rPr>
                <w:rFonts w:eastAsia="Times New Roman" w:cstheme="minorHAnsi"/>
                <w:color w:val="000000"/>
                <w:sz w:val="24"/>
                <w:szCs w:val="24"/>
                <w:lang w:eastAsia="en-IN"/>
              </w:rPr>
              <w:t>I</w:t>
            </w:r>
            <w:r w:rsidRPr="00AE0294">
              <w:rPr>
                <w:rFonts w:eastAsia="Times New Roman" w:cstheme="minorHAnsi"/>
                <w:color w:val="000000"/>
                <w:sz w:val="24"/>
                <w:szCs w:val="24"/>
                <w:lang w:eastAsia="en-IN"/>
              </w:rPr>
              <w:t xml:space="preserve">nclusion of Interest gained on account of UI </w:t>
            </w:r>
            <w:r>
              <w:rPr>
                <w:rFonts w:eastAsia="Times New Roman" w:cstheme="minorHAnsi"/>
                <w:color w:val="000000"/>
                <w:sz w:val="24"/>
                <w:szCs w:val="24"/>
                <w:lang w:eastAsia="en-IN"/>
              </w:rPr>
              <w:t>as NTI</w:t>
            </w:r>
          </w:p>
        </w:tc>
        <w:tc>
          <w:tcPr>
            <w:tcW w:w="136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4</w:t>
            </w:r>
          </w:p>
        </w:tc>
        <w:tc>
          <w:tcPr>
            <w:tcW w:w="136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6</w:t>
            </w:r>
          </w:p>
        </w:tc>
        <w:tc>
          <w:tcPr>
            <w:tcW w:w="128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10</w:t>
            </w:r>
          </w:p>
        </w:tc>
      </w:tr>
      <w:tr w:rsidR="000712F9" w:rsidRPr="00AE0294" w:rsidTr="000712F9">
        <w:trPr>
          <w:trHeight w:val="855"/>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0712F9" w:rsidRPr="00AE0294" w:rsidRDefault="000712F9" w:rsidP="000712F9">
            <w:pPr>
              <w:spacing w:after="0" w:line="240" w:lineRule="auto"/>
              <w:jc w:val="center"/>
              <w:rPr>
                <w:rFonts w:eastAsia="Times New Roman" w:cstheme="minorHAnsi"/>
                <w:color w:val="000000"/>
                <w:sz w:val="24"/>
                <w:szCs w:val="24"/>
                <w:lang w:eastAsia="en-IN"/>
              </w:rPr>
            </w:pPr>
            <w:r>
              <w:rPr>
                <w:rFonts w:eastAsia="Times New Roman" w:cstheme="minorHAnsi"/>
                <w:color w:val="000000"/>
                <w:sz w:val="24"/>
                <w:szCs w:val="24"/>
                <w:lang w:eastAsia="en-IN"/>
              </w:rPr>
              <w:t>21</w:t>
            </w:r>
          </w:p>
        </w:tc>
        <w:tc>
          <w:tcPr>
            <w:tcW w:w="3551" w:type="dxa"/>
            <w:tcBorders>
              <w:top w:val="nil"/>
              <w:left w:val="nil"/>
              <w:bottom w:val="single" w:sz="4" w:space="0" w:color="auto"/>
              <w:right w:val="single" w:sz="4" w:space="0" w:color="auto"/>
            </w:tcBorders>
            <w:shd w:val="clear" w:color="auto" w:fill="auto"/>
            <w:vAlign w:val="center"/>
            <w:hideMark/>
          </w:tcPr>
          <w:p w:rsidR="000712F9" w:rsidRPr="00AE0294" w:rsidRDefault="000712F9" w:rsidP="000712F9">
            <w:pPr>
              <w:spacing w:after="0" w:line="240" w:lineRule="auto"/>
              <w:jc w:val="both"/>
              <w:rPr>
                <w:rFonts w:eastAsia="Times New Roman" w:cstheme="minorHAnsi"/>
                <w:color w:val="000000"/>
                <w:sz w:val="24"/>
                <w:szCs w:val="24"/>
                <w:lang w:eastAsia="en-IN"/>
              </w:rPr>
            </w:pPr>
            <w:r w:rsidRPr="00AE0294">
              <w:rPr>
                <w:rFonts w:eastAsia="Times New Roman" w:cstheme="minorHAnsi"/>
                <w:color w:val="000000"/>
                <w:sz w:val="24"/>
                <w:szCs w:val="24"/>
                <w:lang w:eastAsia="en-IN"/>
              </w:rPr>
              <w:t xml:space="preserve">Income from street light maintenance business considered as </w:t>
            </w:r>
            <w:r>
              <w:rPr>
                <w:rFonts w:eastAsia="Times New Roman" w:cstheme="minorHAnsi"/>
                <w:color w:val="000000"/>
                <w:sz w:val="24"/>
                <w:szCs w:val="24"/>
                <w:lang w:eastAsia="en-IN"/>
              </w:rPr>
              <w:t>NTI</w:t>
            </w:r>
          </w:p>
        </w:tc>
        <w:tc>
          <w:tcPr>
            <w:tcW w:w="136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122</w:t>
            </w:r>
          </w:p>
        </w:tc>
        <w:tc>
          <w:tcPr>
            <w:tcW w:w="136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297</w:t>
            </w:r>
          </w:p>
        </w:tc>
        <w:tc>
          <w:tcPr>
            <w:tcW w:w="128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419</w:t>
            </w:r>
          </w:p>
        </w:tc>
      </w:tr>
      <w:tr w:rsidR="000712F9" w:rsidRPr="00AE0294" w:rsidTr="000712F9">
        <w:trPr>
          <w:trHeight w:val="855"/>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0712F9" w:rsidRPr="00AE0294" w:rsidRDefault="000712F9" w:rsidP="000712F9">
            <w:pPr>
              <w:spacing w:after="0" w:line="240" w:lineRule="auto"/>
              <w:jc w:val="center"/>
              <w:rPr>
                <w:rFonts w:eastAsia="Times New Roman" w:cstheme="minorHAnsi"/>
                <w:color w:val="000000"/>
                <w:sz w:val="24"/>
                <w:szCs w:val="24"/>
                <w:lang w:eastAsia="en-IN"/>
              </w:rPr>
            </w:pPr>
            <w:r>
              <w:rPr>
                <w:rFonts w:eastAsia="Times New Roman" w:cstheme="minorHAnsi"/>
                <w:color w:val="000000"/>
                <w:sz w:val="24"/>
                <w:szCs w:val="24"/>
                <w:lang w:eastAsia="en-IN"/>
              </w:rPr>
              <w:t>22</w:t>
            </w:r>
          </w:p>
        </w:tc>
        <w:tc>
          <w:tcPr>
            <w:tcW w:w="3551" w:type="dxa"/>
            <w:tcBorders>
              <w:top w:val="nil"/>
              <w:left w:val="nil"/>
              <w:bottom w:val="single" w:sz="4" w:space="0" w:color="auto"/>
              <w:right w:val="single" w:sz="4" w:space="0" w:color="auto"/>
            </w:tcBorders>
            <w:shd w:val="clear" w:color="auto" w:fill="auto"/>
            <w:vAlign w:val="center"/>
            <w:hideMark/>
          </w:tcPr>
          <w:p w:rsidR="000712F9" w:rsidRPr="00AE0294" w:rsidRDefault="000712F9" w:rsidP="000712F9">
            <w:pPr>
              <w:spacing w:after="0" w:line="240" w:lineRule="auto"/>
              <w:jc w:val="both"/>
              <w:rPr>
                <w:rFonts w:eastAsia="Times New Roman" w:cstheme="minorHAnsi"/>
                <w:color w:val="000000"/>
                <w:sz w:val="24"/>
                <w:szCs w:val="24"/>
                <w:lang w:eastAsia="en-IN"/>
              </w:rPr>
            </w:pPr>
            <w:r w:rsidRPr="00AE0294">
              <w:rPr>
                <w:rFonts w:eastAsia="Times New Roman" w:cstheme="minorHAnsi"/>
                <w:color w:val="000000"/>
                <w:sz w:val="24"/>
                <w:szCs w:val="24"/>
                <w:lang w:eastAsia="en-IN"/>
              </w:rPr>
              <w:t>Old methodology for computation of financing cost of lpsc continued post fy 2012-13</w:t>
            </w:r>
          </w:p>
        </w:tc>
        <w:tc>
          <w:tcPr>
            <w:tcW w:w="136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48</w:t>
            </w:r>
          </w:p>
        </w:tc>
        <w:tc>
          <w:tcPr>
            <w:tcW w:w="136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60</w:t>
            </w:r>
          </w:p>
        </w:tc>
        <w:tc>
          <w:tcPr>
            <w:tcW w:w="1280" w:type="dxa"/>
            <w:tcBorders>
              <w:top w:val="nil"/>
              <w:left w:val="nil"/>
              <w:bottom w:val="single" w:sz="4" w:space="0" w:color="auto"/>
              <w:right w:val="single" w:sz="4" w:space="0" w:color="auto"/>
            </w:tcBorders>
            <w:shd w:val="clear" w:color="auto" w:fill="auto"/>
            <w:noWrap/>
            <w:vAlign w:val="center"/>
          </w:tcPr>
          <w:p w:rsidR="000712F9" w:rsidRDefault="000712F9" w:rsidP="000712F9">
            <w:pPr>
              <w:spacing w:after="0" w:line="240" w:lineRule="auto"/>
              <w:jc w:val="center"/>
              <w:rPr>
                <w:rFonts w:ascii="Arial" w:hAnsi="Arial" w:cs="Arial"/>
                <w:color w:val="000000"/>
              </w:rPr>
            </w:pPr>
            <w:r>
              <w:rPr>
                <w:rFonts w:ascii="Arial" w:hAnsi="Arial" w:cs="Arial"/>
                <w:color w:val="000000"/>
              </w:rPr>
              <w:t>108</w:t>
            </w:r>
          </w:p>
        </w:tc>
      </w:tr>
      <w:tr w:rsidR="006812F7" w:rsidRPr="00AE0294" w:rsidTr="006812F7">
        <w:trPr>
          <w:trHeight w:val="330"/>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6812F7" w:rsidRPr="001E6951" w:rsidRDefault="006812F7" w:rsidP="000712F9">
            <w:pPr>
              <w:spacing w:after="0" w:line="240" w:lineRule="auto"/>
              <w:jc w:val="center"/>
              <w:rPr>
                <w:rFonts w:eastAsia="Times New Roman" w:cstheme="minorHAnsi"/>
                <w:b/>
                <w:color w:val="000000"/>
                <w:sz w:val="24"/>
                <w:szCs w:val="24"/>
                <w:lang w:eastAsia="en-IN"/>
              </w:rPr>
            </w:pPr>
            <w:r w:rsidRPr="001E6951">
              <w:rPr>
                <w:rFonts w:eastAsia="Times New Roman" w:cstheme="minorHAnsi"/>
                <w:b/>
                <w:color w:val="000000"/>
                <w:sz w:val="24"/>
                <w:szCs w:val="24"/>
                <w:lang w:eastAsia="en-IN"/>
              </w:rPr>
              <w:lastRenderedPageBreak/>
              <w:t> </w:t>
            </w:r>
            <w:r w:rsidR="001E6951" w:rsidRPr="001E6951">
              <w:rPr>
                <w:rFonts w:eastAsia="Times New Roman" w:cstheme="minorHAnsi"/>
                <w:b/>
                <w:color w:val="000000"/>
                <w:sz w:val="24"/>
                <w:szCs w:val="24"/>
                <w:lang w:eastAsia="en-IN"/>
              </w:rPr>
              <w:t>E</w:t>
            </w:r>
          </w:p>
        </w:tc>
        <w:tc>
          <w:tcPr>
            <w:tcW w:w="3551" w:type="dxa"/>
            <w:tcBorders>
              <w:top w:val="nil"/>
              <w:left w:val="nil"/>
              <w:bottom w:val="single" w:sz="4" w:space="0" w:color="auto"/>
              <w:right w:val="single" w:sz="4" w:space="0" w:color="auto"/>
            </w:tcBorders>
            <w:shd w:val="clear" w:color="auto" w:fill="auto"/>
            <w:vAlign w:val="center"/>
            <w:hideMark/>
          </w:tcPr>
          <w:p w:rsidR="006812F7" w:rsidRPr="00AE0294" w:rsidRDefault="006812F7" w:rsidP="000712F9">
            <w:pPr>
              <w:spacing w:after="0" w:line="240" w:lineRule="auto"/>
              <w:jc w:val="both"/>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Revenue</w:t>
            </w:r>
          </w:p>
        </w:tc>
        <w:tc>
          <w:tcPr>
            <w:tcW w:w="1360" w:type="dxa"/>
            <w:tcBorders>
              <w:top w:val="nil"/>
              <w:left w:val="nil"/>
              <w:bottom w:val="single" w:sz="4" w:space="0" w:color="auto"/>
              <w:right w:val="single" w:sz="4" w:space="0" w:color="auto"/>
            </w:tcBorders>
            <w:shd w:val="clear" w:color="auto" w:fill="auto"/>
            <w:noWrap/>
            <w:vAlign w:val="center"/>
            <w:hideMark/>
          </w:tcPr>
          <w:p w:rsidR="006812F7" w:rsidRPr="00AE0294" w:rsidRDefault="006812F7" w:rsidP="000712F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 </w:t>
            </w:r>
          </w:p>
        </w:tc>
        <w:tc>
          <w:tcPr>
            <w:tcW w:w="1360" w:type="dxa"/>
            <w:tcBorders>
              <w:top w:val="nil"/>
              <w:left w:val="nil"/>
              <w:bottom w:val="single" w:sz="4" w:space="0" w:color="auto"/>
              <w:right w:val="single" w:sz="4" w:space="0" w:color="auto"/>
            </w:tcBorders>
            <w:shd w:val="clear" w:color="auto" w:fill="auto"/>
            <w:noWrap/>
            <w:vAlign w:val="center"/>
            <w:hideMark/>
          </w:tcPr>
          <w:p w:rsidR="006812F7" w:rsidRPr="00AE0294" w:rsidRDefault="006812F7" w:rsidP="000712F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 </w:t>
            </w:r>
          </w:p>
        </w:tc>
        <w:tc>
          <w:tcPr>
            <w:tcW w:w="1280" w:type="dxa"/>
            <w:tcBorders>
              <w:top w:val="nil"/>
              <w:left w:val="nil"/>
              <w:bottom w:val="single" w:sz="4" w:space="0" w:color="auto"/>
              <w:right w:val="single" w:sz="4" w:space="0" w:color="auto"/>
            </w:tcBorders>
            <w:shd w:val="clear" w:color="auto" w:fill="auto"/>
            <w:noWrap/>
            <w:vAlign w:val="center"/>
            <w:hideMark/>
          </w:tcPr>
          <w:p w:rsidR="006812F7" w:rsidRPr="00AE0294" w:rsidRDefault="006812F7" w:rsidP="000712F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 </w:t>
            </w:r>
          </w:p>
        </w:tc>
      </w:tr>
      <w:tr w:rsidR="000712F9" w:rsidRPr="00AE0294" w:rsidTr="006812F7">
        <w:trPr>
          <w:trHeight w:val="570"/>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0712F9" w:rsidRPr="00AE0294" w:rsidRDefault="000712F9" w:rsidP="000712F9">
            <w:pPr>
              <w:spacing w:after="0" w:line="240" w:lineRule="auto"/>
              <w:jc w:val="center"/>
              <w:rPr>
                <w:rFonts w:eastAsia="Times New Roman" w:cstheme="minorHAnsi"/>
                <w:color w:val="000000"/>
                <w:sz w:val="24"/>
                <w:szCs w:val="24"/>
                <w:lang w:eastAsia="en-IN"/>
              </w:rPr>
            </w:pPr>
            <w:r>
              <w:rPr>
                <w:rFonts w:eastAsia="Times New Roman" w:cstheme="minorHAnsi"/>
                <w:color w:val="000000"/>
                <w:sz w:val="24"/>
                <w:szCs w:val="24"/>
                <w:lang w:eastAsia="en-IN"/>
              </w:rPr>
              <w:t>23</w:t>
            </w:r>
          </w:p>
        </w:tc>
        <w:tc>
          <w:tcPr>
            <w:tcW w:w="3551" w:type="dxa"/>
            <w:tcBorders>
              <w:top w:val="nil"/>
              <w:left w:val="nil"/>
              <w:bottom w:val="single" w:sz="4" w:space="0" w:color="auto"/>
              <w:right w:val="single" w:sz="4" w:space="0" w:color="auto"/>
            </w:tcBorders>
            <w:shd w:val="clear" w:color="auto" w:fill="auto"/>
            <w:vAlign w:val="center"/>
            <w:hideMark/>
          </w:tcPr>
          <w:p w:rsidR="000712F9" w:rsidRPr="00AE0294" w:rsidRDefault="000712F9" w:rsidP="000712F9">
            <w:pPr>
              <w:spacing w:after="0" w:line="240" w:lineRule="auto"/>
              <w:jc w:val="both"/>
              <w:rPr>
                <w:rFonts w:eastAsia="Times New Roman" w:cstheme="minorHAnsi"/>
                <w:color w:val="000000"/>
                <w:sz w:val="24"/>
                <w:szCs w:val="24"/>
                <w:lang w:eastAsia="en-IN"/>
              </w:rPr>
            </w:pPr>
            <w:r w:rsidRPr="00AE0294">
              <w:rPr>
                <w:rFonts w:eastAsia="Times New Roman" w:cstheme="minorHAnsi"/>
                <w:color w:val="000000"/>
                <w:sz w:val="24"/>
                <w:szCs w:val="24"/>
                <w:lang w:eastAsia="en-IN"/>
              </w:rPr>
              <w:t>Bad debts not written off while computing collection efficiency</w:t>
            </w:r>
          </w:p>
        </w:tc>
        <w:tc>
          <w:tcPr>
            <w:tcW w:w="1360" w:type="dxa"/>
            <w:tcBorders>
              <w:top w:val="nil"/>
              <w:left w:val="nil"/>
              <w:bottom w:val="single" w:sz="4" w:space="0" w:color="auto"/>
              <w:right w:val="single" w:sz="4" w:space="0" w:color="auto"/>
            </w:tcBorders>
            <w:shd w:val="clear" w:color="auto" w:fill="auto"/>
            <w:noWrap/>
            <w:vAlign w:val="center"/>
            <w:hideMark/>
          </w:tcPr>
          <w:p w:rsidR="000712F9" w:rsidRDefault="000712F9" w:rsidP="000712F9">
            <w:pPr>
              <w:spacing w:after="0" w:line="240" w:lineRule="auto"/>
              <w:jc w:val="center"/>
              <w:rPr>
                <w:rFonts w:ascii="Arial" w:hAnsi="Arial" w:cs="Arial"/>
                <w:color w:val="000000"/>
              </w:rPr>
            </w:pPr>
            <w:r>
              <w:rPr>
                <w:rFonts w:ascii="Arial" w:hAnsi="Arial" w:cs="Arial"/>
                <w:color w:val="000000"/>
              </w:rPr>
              <w:t>61</w:t>
            </w:r>
          </w:p>
        </w:tc>
        <w:tc>
          <w:tcPr>
            <w:tcW w:w="1360" w:type="dxa"/>
            <w:tcBorders>
              <w:top w:val="nil"/>
              <w:left w:val="nil"/>
              <w:bottom w:val="single" w:sz="4" w:space="0" w:color="auto"/>
              <w:right w:val="single" w:sz="4" w:space="0" w:color="auto"/>
            </w:tcBorders>
            <w:shd w:val="clear" w:color="auto" w:fill="auto"/>
            <w:noWrap/>
            <w:vAlign w:val="center"/>
            <w:hideMark/>
          </w:tcPr>
          <w:p w:rsidR="000712F9" w:rsidRDefault="000712F9" w:rsidP="000712F9">
            <w:pPr>
              <w:spacing w:after="0" w:line="240" w:lineRule="auto"/>
              <w:jc w:val="center"/>
              <w:rPr>
                <w:rFonts w:ascii="Arial" w:hAnsi="Arial" w:cs="Arial"/>
                <w:color w:val="000000"/>
              </w:rPr>
            </w:pPr>
            <w:r>
              <w:rPr>
                <w:rFonts w:ascii="Arial" w:hAnsi="Arial" w:cs="Arial"/>
                <w:color w:val="000000"/>
              </w:rPr>
              <w:t>144</w:t>
            </w:r>
          </w:p>
        </w:tc>
        <w:tc>
          <w:tcPr>
            <w:tcW w:w="1280" w:type="dxa"/>
            <w:tcBorders>
              <w:top w:val="nil"/>
              <w:left w:val="nil"/>
              <w:bottom w:val="single" w:sz="4" w:space="0" w:color="auto"/>
              <w:right w:val="single" w:sz="4" w:space="0" w:color="auto"/>
            </w:tcBorders>
            <w:shd w:val="clear" w:color="auto" w:fill="auto"/>
            <w:noWrap/>
            <w:vAlign w:val="center"/>
            <w:hideMark/>
          </w:tcPr>
          <w:p w:rsidR="000712F9" w:rsidRDefault="000712F9" w:rsidP="000712F9">
            <w:pPr>
              <w:spacing w:after="0" w:line="240" w:lineRule="auto"/>
              <w:jc w:val="center"/>
              <w:rPr>
                <w:rFonts w:ascii="Arial" w:hAnsi="Arial" w:cs="Arial"/>
                <w:color w:val="000000"/>
              </w:rPr>
            </w:pPr>
            <w:r>
              <w:rPr>
                <w:rFonts w:ascii="Arial" w:hAnsi="Arial" w:cs="Arial"/>
                <w:color w:val="000000"/>
              </w:rPr>
              <w:t>205</w:t>
            </w:r>
          </w:p>
        </w:tc>
      </w:tr>
      <w:tr w:rsidR="000712F9" w:rsidRPr="00AE0294" w:rsidTr="006812F7">
        <w:trPr>
          <w:trHeight w:val="570"/>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0712F9" w:rsidRPr="00AE0294" w:rsidRDefault="000712F9" w:rsidP="000712F9">
            <w:pPr>
              <w:spacing w:after="0" w:line="240" w:lineRule="auto"/>
              <w:jc w:val="center"/>
              <w:rPr>
                <w:rFonts w:eastAsia="Times New Roman" w:cstheme="minorHAnsi"/>
                <w:color w:val="000000"/>
                <w:sz w:val="24"/>
                <w:szCs w:val="24"/>
                <w:lang w:eastAsia="en-IN"/>
              </w:rPr>
            </w:pPr>
            <w:r>
              <w:rPr>
                <w:rFonts w:eastAsia="Times New Roman" w:cstheme="minorHAnsi"/>
                <w:color w:val="000000"/>
                <w:sz w:val="24"/>
                <w:szCs w:val="24"/>
                <w:lang w:eastAsia="en-IN"/>
              </w:rPr>
              <w:t>24</w:t>
            </w:r>
          </w:p>
        </w:tc>
        <w:tc>
          <w:tcPr>
            <w:tcW w:w="3551" w:type="dxa"/>
            <w:tcBorders>
              <w:top w:val="nil"/>
              <w:left w:val="nil"/>
              <w:bottom w:val="single" w:sz="4" w:space="0" w:color="auto"/>
              <w:right w:val="single" w:sz="4" w:space="0" w:color="auto"/>
            </w:tcBorders>
            <w:shd w:val="clear" w:color="auto" w:fill="auto"/>
            <w:vAlign w:val="center"/>
            <w:hideMark/>
          </w:tcPr>
          <w:p w:rsidR="000712F9" w:rsidRPr="00AE0294" w:rsidRDefault="000712F9" w:rsidP="000712F9">
            <w:pPr>
              <w:spacing w:after="0" w:line="240" w:lineRule="auto"/>
              <w:jc w:val="both"/>
              <w:rPr>
                <w:rFonts w:eastAsia="Times New Roman" w:cstheme="minorHAnsi"/>
                <w:color w:val="000000"/>
                <w:sz w:val="24"/>
                <w:szCs w:val="24"/>
                <w:lang w:eastAsia="en-IN"/>
              </w:rPr>
            </w:pPr>
            <w:r w:rsidRPr="00AE0294">
              <w:rPr>
                <w:rFonts w:eastAsia="Times New Roman" w:cstheme="minorHAnsi"/>
                <w:color w:val="000000"/>
                <w:sz w:val="24"/>
                <w:szCs w:val="24"/>
                <w:lang w:eastAsia="en-IN"/>
              </w:rPr>
              <w:t>Disallowance on account of monthly billing rebate</w:t>
            </w:r>
          </w:p>
        </w:tc>
        <w:tc>
          <w:tcPr>
            <w:tcW w:w="1360" w:type="dxa"/>
            <w:tcBorders>
              <w:top w:val="nil"/>
              <w:left w:val="nil"/>
              <w:bottom w:val="single" w:sz="4" w:space="0" w:color="auto"/>
              <w:right w:val="single" w:sz="4" w:space="0" w:color="auto"/>
            </w:tcBorders>
            <w:shd w:val="clear" w:color="auto" w:fill="auto"/>
            <w:noWrap/>
            <w:vAlign w:val="center"/>
            <w:hideMark/>
          </w:tcPr>
          <w:p w:rsidR="000712F9" w:rsidRDefault="000712F9" w:rsidP="000712F9">
            <w:pPr>
              <w:spacing w:after="0" w:line="240" w:lineRule="auto"/>
              <w:jc w:val="center"/>
              <w:rPr>
                <w:rFonts w:ascii="Arial" w:hAnsi="Arial" w:cs="Arial"/>
                <w:color w:val="000000"/>
              </w:rPr>
            </w:pPr>
            <w:r>
              <w:rPr>
                <w:rFonts w:ascii="Arial" w:hAnsi="Arial" w:cs="Arial"/>
                <w:color w:val="000000"/>
              </w:rPr>
              <w:t>34</w:t>
            </w:r>
          </w:p>
        </w:tc>
        <w:tc>
          <w:tcPr>
            <w:tcW w:w="1360" w:type="dxa"/>
            <w:tcBorders>
              <w:top w:val="nil"/>
              <w:left w:val="nil"/>
              <w:bottom w:val="single" w:sz="4" w:space="0" w:color="auto"/>
              <w:right w:val="single" w:sz="4" w:space="0" w:color="auto"/>
            </w:tcBorders>
            <w:shd w:val="clear" w:color="auto" w:fill="auto"/>
            <w:noWrap/>
            <w:vAlign w:val="bottom"/>
            <w:hideMark/>
          </w:tcPr>
          <w:p w:rsidR="000712F9" w:rsidRDefault="000712F9" w:rsidP="000712F9">
            <w:pPr>
              <w:spacing w:after="0" w:line="240" w:lineRule="auto"/>
              <w:jc w:val="center"/>
              <w:rPr>
                <w:rFonts w:ascii="Arial" w:hAnsi="Arial" w:cs="Arial"/>
                <w:color w:val="000000"/>
              </w:rPr>
            </w:pPr>
            <w:r>
              <w:rPr>
                <w:rFonts w:ascii="Arial" w:hAnsi="Arial" w:cs="Arial"/>
                <w:color w:val="000000"/>
              </w:rPr>
              <w:t>51</w:t>
            </w:r>
          </w:p>
        </w:tc>
        <w:tc>
          <w:tcPr>
            <w:tcW w:w="1280" w:type="dxa"/>
            <w:tcBorders>
              <w:top w:val="nil"/>
              <w:left w:val="nil"/>
              <w:bottom w:val="single" w:sz="4" w:space="0" w:color="auto"/>
              <w:right w:val="single" w:sz="4" w:space="0" w:color="auto"/>
            </w:tcBorders>
            <w:shd w:val="clear" w:color="auto" w:fill="auto"/>
            <w:noWrap/>
            <w:vAlign w:val="bottom"/>
            <w:hideMark/>
          </w:tcPr>
          <w:p w:rsidR="000712F9" w:rsidRDefault="000712F9" w:rsidP="000712F9">
            <w:pPr>
              <w:spacing w:after="0" w:line="240" w:lineRule="auto"/>
              <w:jc w:val="center"/>
              <w:rPr>
                <w:rFonts w:ascii="Arial" w:hAnsi="Arial" w:cs="Arial"/>
                <w:color w:val="000000"/>
              </w:rPr>
            </w:pPr>
            <w:r>
              <w:rPr>
                <w:rFonts w:ascii="Arial" w:hAnsi="Arial" w:cs="Arial"/>
                <w:color w:val="000000"/>
              </w:rPr>
              <w:t>84</w:t>
            </w:r>
          </w:p>
        </w:tc>
      </w:tr>
      <w:tr w:rsidR="000712F9" w:rsidRPr="00AE0294" w:rsidTr="006812F7">
        <w:trPr>
          <w:trHeight w:val="855"/>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0712F9" w:rsidRPr="00AE0294" w:rsidRDefault="000712F9" w:rsidP="000712F9">
            <w:pPr>
              <w:spacing w:after="0" w:line="240" w:lineRule="auto"/>
              <w:jc w:val="center"/>
              <w:rPr>
                <w:rFonts w:eastAsia="Times New Roman" w:cstheme="minorHAnsi"/>
                <w:color w:val="000000"/>
                <w:sz w:val="24"/>
                <w:szCs w:val="24"/>
                <w:lang w:eastAsia="en-IN"/>
              </w:rPr>
            </w:pPr>
            <w:r>
              <w:rPr>
                <w:rFonts w:eastAsia="Times New Roman" w:cstheme="minorHAnsi"/>
                <w:color w:val="000000"/>
                <w:sz w:val="24"/>
                <w:szCs w:val="24"/>
                <w:lang w:eastAsia="en-IN"/>
              </w:rPr>
              <w:t>25</w:t>
            </w:r>
          </w:p>
        </w:tc>
        <w:tc>
          <w:tcPr>
            <w:tcW w:w="3551" w:type="dxa"/>
            <w:tcBorders>
              <w:top w:val="nil"/>
              <w:left w:val="nil"/>
              <w:bottom w:val="single" w:sz="4" w:space="0" w:color="auto"/>
              <w:right w:val="single" w:sz="4" w:space="0" w:color="auto"/>
            </w:tcBorders>
            <w:shd w:val="clear" w:color="auto" w:fill="auto"/>
            <w:vAlign w:val="center"/>
            <w:hideMark/>
          </w:tcPr>
          <w:p w:rsidR="000712F9" w:rsidRPr="00AE0294" w:rsidRDefault="000712F9" w:rsidP="000712F9">
            <w:pPr>
              <w:spacing w:after="0" w:line="240" w:lineRule="auto"/>
              <w:jc w:val="both"/>
              <w:rPr>
                <w:rFonts w:eastAsia="Times New Roman" w:cstheme="minorHAnsi"/>
                <w:color w:val="000000"/>
                <w:sz w:val="24"/>
                <w:szCs w:val="24"/>
                <w:lang w:eastAsia="en-IN"/>
              </w:rPr>
            </w:pPr>
            <w:r w:rsidRPr="00AE0294">
              <w:rPr>
                <w:rFonts w:eastAsia="Times New Roman" w:cstheme="minorHAnsi"/>
                <w:color w:val="000000"/>
                <w:sz w:val="24"/>
                <w:szCs w:val="24"/>
                <w:lang w:eastAsia="en-IN"/>
              </w:rPr>
              <w:t xml:space="preserve">Incorrect computation of incentive on </w:t>
            </w:r>
            <w:r>
              <w:rPr>
                <w:rFonts w:eastAsia="Times New Roman" w:cstheme="minorHAnsi"/>
                <w:color w:val="000000"/>
                <w:sz w:val="24"/>
                <w:szCs w:val="24"/>
                <w:lang w:eastAsia="en-IN"/>
              </w:rPr>
              <w:t>account of over-achievement of T&amp;D loss targets</w:t>
            </w:r>
          </w:p>
        </w:tc>
        <w:tc>
          <w:tcPr>
            <w:tcW w:w="1360" w:type="dxa"/>
            <w:tcBorders>
              <w:top w:val="nil"/>
              <w:left w:val="nil"/>
              <w:bottom w:val="single" w:sz="4" w:space="0" w:color="auto"/>
              <w:right w:val="single" w:sz="4" w:space="0" w:color="auto"/>
            </w:tcBorders>
            <w:shd w:val="clear" w:color="auto" w:fill="auto"/>
            <w:noWrap/>
            <w:vAlign w:val="center"/>
            <w:hideMark/>
          </w:tcPr>
          <w:p w:rsidR="000712F9" w:rsidRDefault="000712F9" w:rsidP="000712F9">
            <w:pPr>
              <w:spacing w:after="0" w:line="240" w:lineRule="auto"/>
              <w:jc w:val="center"/>
              <w:rPr>
                <w:rFonts w:ascii="Arial" w:hAnsi="Arial" w:cs="Arial"/>
                <w:color w:val="000000"/>
              </w:rPr>
            </w:pPr>
            <w:r>
              <w:rPr>
                <w:rFonts w:ascii="Arial" w:hAnsi="Arial" w:cs="Arial"/>
                <w:color w:val="000000"/>
              </w:rPr>
              <w:t>38</w:t>
            </w:r>
          </w:p>
        </w:tc>
        <w:tc>
          <w:tcPr>
            <w:tcW w:w="1360" w:type="dxa"/>
            <w:tcBorders>
              <w:top w:val="nil"/>
              <w:left w:val="nil"/>
              <w:bottom w:val="single" w:sz="4" w:space="0" w:color="auto"/>
              <w:right w:val="single" w:sz="4" w:space="0" w:color="auto"/>
            </w:tcBorders>
            <w:shd w:val="clear" w:color="auto" w:fill="auto"/>
            <w:noWrap/>
            <w:vAlign w:val="center"/>
            <w:hideMark/>
          </w:tcPr>
          <w:p w:rsidR="000712F9" w:rsidRDefault="000712F9" w:rsidP="000712F9">
            <w:pPr>
              <w:spacing w:after="0" w:line="240" w:lineRule="auto"/>
              <w:jc w:val="center"/>
              <w:rPr>
                <w:rFonts w:ascii="Arial" w:hAnsi="Arial" w:cs="Arial"/>
                <w:color w:val="000000"/>
              </w:rPr>
            </w:pPr>
            <w:r>
              <w:rPr>
                <w:rFonts w:ascii="Arial" w:hAnsi="Arial" w:cs="Arial"/>
                <w:color w:val="000000"/>
              </w:rPr>
              <w:t>19</w:t>
            </w:r>
          </w:p>
        </w:tc>
        <w:tc>
          <w:tcPr>
            <w:tcW w:w="1280" w:type="dxa"/>
            <w:tcBorders>
              <w:top w:val="nil"/>
              <w:left w:val="nil"/>
              <w:bottom w:val="single" w:sz="4" w:space="0" w:color="auto"/>
              <w:right w:val="single" w:sz="4" w:space="0" w:color="auto"/>
            </w:tcBorders>
            <w:shd w:val="clear" w:color="auto" w:fill="auto"/>
            <w:noWrap/>
            <w:vAlign w:val="center"/>
            <w:hideMark/>
          </w:tcPr>
          <w:p w:rsidR="000712F9" w:rsidRDefault="000712F9" w:rsidP="000712F9">
            <w:pPr>
              <w:spacing w:after="0" w:line="240" w:lineRule="auto"/>
              <w:jc w:val="center"/>
              <w:rPr>
                <w:rFonts w:ascii="Arial" w:hAnsi="Arial" w:cs="Arial"/>
                <w:color w:val="000000"/>
              </w:rPr>
            </w:pPr>
            <w:r>
              <w:rPr>
                <w:rFonts w:ascii="Arial" w:hAnsi="Arial" w:cs="Arial"/>
                <w:color w:val="000000"/>
              </w:rPr>
              <w:t>57</w:t>
            </w:r>
          </w:p>
        </w:tc>
      </w:tr>
      <w:tr w:rsidR="006812F7" w:rsidRPr="00AE0294" w:rsidTr="006812F7">
        <w:trPr>
          <w:trHeight w:val="330"/>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6812F7" w:rsidRPr="00D709EA" w:rsidRDefault="00D709EA" w:rsidP="000712F9">
            <w:pPr>
              <w:spacing w:after="0" w:line="240" w:lineRule="auto"/>
              <w:jc w:val="center"/>
              <w:rPr>
                <w:rFonts w:eastAsia="Times New Roman" w:cstheme="minorHAnsi"/>
                <w:b/>
                <w:color w:val="000000"/>
                <w:sz w:val="24"/>
                <w:szCs w:val="24"/>
                <w:lang w:eastAsia="en-IN"/>
              </w:rPr>
            </w:pPr>
            <w:r w:rsidRPr="00D709EA">
              <w:rPr>
                <w:rFonts w:eastAsia="Times New Roman" w:cstheme="minorHAnsi"/>
                <w:b/>
                <w:color w:val="000000"/>
                <w:sz w:val="24"/>
                <w:szCs w:val="24"/>
                <w:lang w:eastAsia="en-IN"/>
              </w:rPr>
              <w:t>F</w:t>
            </w:r>
            <w:r w:rsidR="006812F7" w:rsidRPr="00D709EA">
              <w:rPr>
                <w:rFonts w:eastAsia="Times New Roman" w:cstheme="minorHAnsi"/>
                <w:b/>
                <w:color w:val="000000"/>
                <w:sz w:val="24"/>
                <w:szCs w:val="24"/>
                <w:lang w:eastAsia="en-IN"/>
              </w:rPr>
              <w:t> </w:t>
            </w:r>
          </w:p>
        </w:tc>
        <w:tc>
          <w:tcPr>
            <w:tcW w:w="3551" w:type="dxa"/>
            <w:tcBorders>
              <w:top w:val="nil"/>
              <w:left w:val="nil"/>
              <w:bottom w:val="single" w:sz="4" w:space="0" w:color="auto"/>
              <w:right w:val="single" w:sz="4" w:space="0" w:color="auto"/>
            </w:tcBorders>
            <w:shd w:val="clear" w:color="auto" w:fill="auto"/>
            <w:vAlign w:val="center"/>
            <w:hideMark/>
          </w:tcPr>
          <w:p w:rsidR="006812F7" w:rsidRPr="00AE0294" w:rsidRDefault="006812F7" w:rsidP="000712F9">
            <w:pPr>
              <w:spacing w:after="0" w:line="240" w:lineRule="auto"/>
              <w:jc w:val="both"/>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Others</w:t>
            </w:r>
          </w:p>
        </w:tc>
        <w:tc>
          <w:tcPr>
            <w:tcW w:w="1360" w:type="dxa"/>
            <w:tcBorders>
              <w:top w:val="nil"/>
              <w:left w:val="nil"/>
              <w:bottom w:val="single" w:sz="4" w:space="0" w:color="auto"/>
              <w:right w:val="single" w:sz="4" w:space="0" w:color="auto"/>
            </w:tcBorders>
            <w:shd w:val="clear" w:color="auto" w:fill="auto"/>
            <w:noWrap/>
            <w:vAlign w:val="center"/>
            <w:hideMark/>
          </w:tcPr>
          <w:p w:rsidR="006812F7" w:rsidRPr="00AE0294" w:rsidRDefault="006812F7" w:rsidP="000712F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 </w:t>
            </w:r>
          </w:p>
        </w:tc>
        <w:tc>
          <w:tcPr>
            <w:tcW w:w="1360" w:type="dxa"/>
            <w:tcBorders>
              <w:top w:val="nil"/>
              <w:left w:val="nil"/>
              <w:bottom w:val="single" w:sz="4" w:space="0" w:color="auto"/>
              <w:right w:val="single" w:sz="4" w:space="0" w:color="auto"/>
            </w:tcBorders>
            <w:shd w:val="clear" w:color="auto" w:fill="auto"/>
            <w:noWrap/>
            <w:vAlign w:val="center"/>
            <w:hideMark/>
          </w:tcPr>
          <w:p w:rsidR="006812F7" w:rsidRPr="00AE0294" w:rsidRDefault="006812F7" w:rsidP="000712F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 </w:t>
            </w:r>
          </w:p>
        </w:tc>
        <w:tc>
          <w:tcPr>
            <w:tcW w:w="1280" w:type="dxa"/>
            <w:tcBorders>
              <w:top w:val="nil"/>
              <w:left w:val="nil"/>
              <w:bottom w:val="single" w:sz="4" w:space="0" w:color="auto"/>
              <w:right w:val="single" w:sz="4" w:space="0" w:color="auto"/>
            </w:tcBorders>
            <w:shd w:val="clear" w:color="auto" w:fill="auto"/>
            <w:noWrap/>
            <w:vAlign w:val="center"/>
            <w:hideMark/>
          </w:tcPr>
          <w:p w:rsidR="006812F7" w:rsidRPr="00AE0294" w:rsidRDefault="006812F7" w:rsidP="000712F9">
            <w:pPr>
              <w:spacing w:after="0" w:line="240" w:lineRule="auto"/>
              <w:jc w:val="center"/>
              <w:rPr>
                <w:rFonts w:eastAsia="Times New Roman" w:cstheme="minorHAnsi"/>
                <w:color w:val="000000"/>
                <w:sz w:val="24"/>
                <w:szCs w:val="24"/>
                <w:lang w:eastAsia="en-IN"/>
              </w:rPr>
            </w:pPr>
            <w:r w:rsidRPr="00AE0294">
              <w:rPr>
                <w:rFonts w:eastAsia="Times New Roman" w:cstheme="minorHAnsi"/>
                <w:color w:val="000000"/>
                <w:sz w:val="24"/>
                <w:szCs w:val="24"/>
                <w:lang w:eastAsia="en-IN"/>
              </w:rPr>
              <w:t> </w:t>
            </w:r>
          </w:p>
        </w:tc>
      </w:tr>
      <w:tr w:rsidR="000712F9" w:rsidRPr="00AE0294" w:rsidTr="000712F9">
        <w:trPr>
          <w:trHeight w:val="330"/>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0712F9" w:rsidRPr="00AE0294" w:rsidRDefault="000712F9" w:rsidP="000712F9">
            <w:pPr>
              <w:spacing w:after="0" w:line="240" w:lineRule="auto"/>
              <w:jc w:val="center"/>
              <w:rPr>
                <w:rFonts w:eastAsia="Times New Roman" w:cstheme="minorHAnsi"/>
                <w:color w:val="000000"/>
                <w:sz w:val="24"/>
                <w:szCs w:val="24"/>
                <w:lang w:eastAsia="en-IN"/>
              </w:rPr>
            </w:pPr>
            <w:r>
              <w:rPr>
                <w:rFonts w:eastAsia="Times New Roman" w:cstheme="minorHAnsi"/>
                <w:color w:val="000000"/>
                <w:sz w:val="24"/>
                <w:szCs w:val="24"/>
                <w:lang w:eastAsia="en-IN"/>
              </w:rPr>
              <w:t>26</w:t>
            </w:r>
          </w:p>
        </w:tc>
        <w:tc>
          <w:tcPr>
            <w:tcW w:w="3551" w:type="dxa"/>
            <w:tcBorders>
              <w:top w:val="nil"/>
              <w:left w:val="nil"/>
              <w:bottom w:val="single" w:sz="4" w:space="0" w:color="auto"/>
              <w:right w:val="single" w:sz="4" w:space="0" w:color="auto"/>
            </w:tcBorders>
            <w:shd w:val="clear" w:color="auto" w:fill="auto"/>
            <w:vAlign w:val="center"/>
            <w:hideMark/>
          </w:tcPr>
          <w:p w:rsidR="000712F9" w:rsidRPr="00AE0294" w:rsidRDefault="000712F9" w:rsidP="000712F9">
            <w:pPr>
              <w:spacing w:after="0" w:line="240" w:lineRule="auto"/>
              <w:jc w:val="both"/>
              <w:rPr>
                <w:rFonts w:eastAsia="Times New Roman" w:cstheme="minorHAnsi"/>
                <w:color w:val="000000"/>
                <w:sz w:val="24"/>
                <w:szCs w:val="24"/>
                <w:lang w:eastAsia="en-IN"/>
              </w:rPr>
            </w:pPr>
            <w:r w:rsidRPr="00AE0294">
              <w:rPr>
                <w:rFonts w:eastAsia="Times New Roman" w:cstheme="minorHAnsi"/>
                <w:color w:val="000000"/>
                <w:sz w:val="24"/>
                <w:szCs w:val="24"/>
                <w:lang w:eastAsia="en-IN"/>
              </w:rPr>
              <w:t>Approach for Truing-up of FY 2016-17</w:t>
            </w:r>
          </w:p>
        </w:tc>
        <w:tc>
          <w:tcPr>
            <w:tcW w:w="1360" w:type="dxa"/>
            <w:tcBorders>
              <w:top w:val="nil"/>
              <w:left w:val="nil"/>
              <w:bottom w:val="single" w:sz="4" w:space="0" w:color="auto"/>
              <w:right w:val="single" w:sz="4" w:space="0" w:color="auto"/>
            </w:tcBorders>
            <w:shd w:val="clear" w:color="auto" w:fill="auto"/>
            <w:noWrap/>
            <w:vAlign w:val="center"/>
            <w:hideMark/>
          </w:tcPr>
          <w:p w:rsidR="000712F9" w:rsidRDefault="000712F9" w:rsidP="000712F9">
            <w:pPr>
              <w:spacing w:after="0" w:line="240" w:lineRule="auto"/>
              <w:jc w:val="center"/>
              <w:rPr>
                <w:rFonts w:ascii="Arial" w:hAnsi="Arial" w:cs="Arial"/>
                <w:color w:val="000000"/>
              </w:rPr>
            </w:pPr>
            <w:r>
              <w:rPr>
                <w:rFonts w:ascii="Arial" w:hAnsi="Arial" w:cs="Arial"/>
                <w:color w:val="000000"/>
              </w:rPr>
              <w:t>63</w:t>
            </w:r>
          </w:p>
        </w:tc>
        <w:tc>
          <w:tcPr>
            <w:tcW w:w="1360" w:type="dxa"/>
            <w:tcBorders>
              <w:top w:val="nil"/>
              <w:left w:val="nil"/>
              <w:bottom w:val="single" w:sz="4" w:space="0" w:color="auto"/>
              <w:right w:val="single" w:sz="4" w:space="0" w:color="auto"/>
            </w:tcBorders>
            <w:shd w:val="clear" w:color="auto" w:fill="auto"/>
            <w:noWrap/>
            <w:vAlign w:val="center"/>
            <w:hideMark/>
          </w:tcPr>
          <w:p w:rsidR="000712F9" w:rsidRDefault="000712F9" w:rsidP="000712F9">
            <w:pPr>
              <w:spacing w:after="0" w:line="240" w:lineRule="auto"/>
              <w:jc w:val="center"/>
              <w:rPr>
                <w:rFonts w:ascii="Arial" w:hAnsi="Arial" w:cs="Arial"/>
                <w:color w:val="000000"/>
              </w:rPr>
            </w:pPr>
            <w:r>
              <w:rPr>
                <w:rFonts w:ascii="Arial" w:hAnsi="Arial" w:cs="Arial"/>
                <w:color w:val="000000"/>
              </w:rPr>
              <w:t>64</w:t>
            </w:r>
          </w:p>
        </w:tc>
        <w:tc>
          <w:tcPr>
            <w:tcW w:w="1280" w:type="dxa"/>
            <w:tcBorders>
              <w:top w:val="nil"/>
              <w:left w:val="nil"/>
              <w:bottom w:val="single" w:sz="4" w:space="0" w:color="auto"/>
              <w:right w:val="single" w:sz="4" w:space="0" w:color="auto"/>
            </w:tcBorders>
            <w:shd w:val="clear" w:color="auto" w:fill="auto"/>
            <w:noWrap/>
            <w:vAlign w:val="center"/>
            <w:hideMark/>
          </w:tcPr>
          <w:p w:rsidR="000712F9" w:rsidRDefault="000712F9" w:rsidP="000712F9">
            <w:pPr>
              <w:spacing w:after="0" w:line="240" w:lineRule="auto"/>
              <w:jc w:val="center"/>
              <w:rPr>
                <w:rFonts w:ascii="Arial" w:hAnsi="Arial" w:cs="Arial"/>
                <w:color w:val="000000"/>
              </w:rPr>
            </w:pPr>
            <w:r>
              <w:rPr>
                <w:rFonts w:ascii="Arial" w:hAnsi="Arial" w:cs="Arial"/>
                <w:color w:val="000000"/>
              </w:rPr>
              <w:t>127</w:t>
            </w:r>
          </w:p>
        </w:tc>
      </w:tr>
      <w:tr w:rsidR="000712F9" w:rsidRPr="00AE0294" w:rsidTr="000712F9">
        <w:trPr>
          <w:trHeight w:val="330"/>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0712F9" w:rsidRPr="00AE0294" w:rsidRDefault="000712F9" w:rsidP="000712F9">
            <w:pPr>
              <w:spacing w:after="0" w:line="240" w:lineRule="auto"/>
              <w:jc w:val="center"/>
              <w:rPr>
                <w:rFonts w:eastAsia="Times New Roman" w:cstheme="minorHAnsi"/>
                <w:color w:val="000000"/>
                <w:sz w:val="24"/>
                <w:szCs w:val="24"/>
                <w:lang w:eastAsia="en-IN"/>
              </w:rPr>
            </w:pPr>
            <w:r>
              <w:rPr>
                <w:rFonts w:eastAsia="Times New Roman" w:cstheme="minorHAnsi"/>
                <w:color w:val="000000"/>
                <w:sz w:val="24"/>
                <w:szCs w:val="24"/>
                <w:lang w:eastAsia="en-IN"/>
              </w:rPr>
              <w:t>27</w:t>
            </w:r>
          </w:p>
        </w:tc>
        <w:tc>
          <w:tcPr>
            <w:tcW w:w="3551" w:type="dxa"/>
            <w:tcBorders>
              <w:top w:val="nil"/>
              <w:left w:val="nil"/>
              <w:bottom w:val="single" w:sz="4" w:space="0" w:color="auto"/>
              <w:right w:val="single" w:sz="4" w:space="0" w:color="auto"/>
            </w:tcBorders>
            <w:shd w:val="clear" w:color="auto" w:fill="auto"/>
            <w:vAlign w:val="center"/>
            <w:hideMark/>
          </w:tcPr>
          <w:p w:rsidR="000712F9" w:rsidRPr="00AE0294" w:rsidRDefault="000712F9" w:rsidP="000712F9">
            <w:pPr>
              <w:spacing w:after="0" w:line="240" w:lineRule="auto"/>
              <w:jc w:val="both"/>
              <w:rPr>
                <w:rFonts w:eastAsia="Times New Roman" w:cstheme="minorHAnsi"/>
                <w:color w:val="000000"/>
                <w:sz w:val="24"/>
                <w:szCs w:val="24"/>
                <w:lang w:eastAsia="en-IN"/>
              </w:rPr>
            </w:pPr>
            <w:r>
              <w:rPr>
                <w:rFonts w:eastAsia="Times New Roman" w:cstheme="minorHAnsi"/>
                <w:color w:val="000000"/>
                <w:sz w:val="24"/>
                <w:szCs w:val="24"/>
                <w:lang w:eastAsia="en-IN"/>
              </w:rPr>
              <w:t xml:space="preserve">Penalty on account of </w:t>
            </w:r>
            <w:r w:rsidRPr="00AE0294">
              <w:rPr>
                <w:rFonts w:eastAsia="Times New Roman" w:cstheme="minorHAnsi"/>
                <w:color w:val="000000"/>
                <w:sz w:val="24"/>
                <w:szCs w:val="24"/>
                <w:lang w:eastAsia="en-IN"/>
              </w:rPr>
              <w:t xml:space="preserve">Cash </w:t>
            </w:r>
            <w:r>
              <w:rPr>
                <w:rFonts w:eastAsia="Times New Roman" w:cstheme="minorHAnsi"/>
                <w:color w:val="000000"/>
                <w:sz w:val="24"/>
                <w:szCs w:val="24"/>
                <w:lang w:eastAsia="en-IN"/>
              </w:rPr>
              <w:t>collection above</w:t>
            </w:r>
            <w:r w:rsidRPr="00AE0294">
              <w:rPr>
                <w:rFonts w:eastAsia="Times New Roman" w:cstheme="minorHAnsi"/>
                <w:color w:val="000000"/>
                <w:sz w:val="24"/>
                <w:szCs w:val="24"/>
                <w:lang w:eastAsia="en-IN"/>
              </w:rPr>
              <w:t xml:space="preserve"> Rs. 4000 for payment of electricity bills</w:t>
            </w:r>
          </w:p>
        </w:tc>
        <w:tc>
          <w:tcPr>
            <w:tcW w:w="1360" w:type="dxa"/>
            <w:tcBorders>
              <w:top w:val="nil"/>
              <w:left w:val="nil"/>
              <w:bottom w:val="single" w:sz="4" w:space="0" w:color="auto"/>
              <w:right w:val="single" w:sz="4" w:space="0" w:color="auto"/>
            </w:tcBorders>
            <w:shd w:val="clear" w:color="auto" w:fill="auto"/>
            <w:noWrap/>
            <w:vAlign w:val="center"/>
            <w:hideMark/>
          </w:tcPr>
          <w:p w:rsidR="000712F9" w:rsidRDefault="000712F9" w:rsidP="000712F9">
            <w:pPr>
              <w:spacing w:after="0" w:line="240" w:lineRule="auto"/>
              <w:jc w:val="center"/>
              <w:rPr>
                <w:rFonts w:ascii="Arial" w:hAnsi="Arial" w:cs="Arial"/>
                <w:color w:val="000000"/>
              </w:rPr>
            </w:pPr>
            <w:r>
              <w:rPr>
                <w:rFonts w:ascii="Arial" w:hAnsi="Arial" w:cs="Arial"/>
                <w:color w:val="000000"/>
              </w:rPr>
              <w:t>33</w:t>
            </w:r>
          </w:p>
        </w:tc>
        <w:tc>
          <w:tcPr>
            <w:tcW w:w="1360" w:type="dxa"/>
            <w:tcBorders>
              <w:top w:val="nil"/>
              <w:left w:val="nil"/>
              <w:bottom w:val="single" w:sz="4" w:space="0" w:color="auto"/>
              <w:right w:val="single" w:sz="4" w:space="0" w:color="auto"/>
            </w:tcBorders>
            <w:shd w:val="clear" w:color="auto" w:fill="auto"/>
            <w:noWrap/>
            <w:vAlign w:val="center"/>
            <w:hideMark/>
          </w:tcPr>
          <w:p w:rsidR="000712F9" w:rsidRDefault="000712F9" w:rsidP="000712F9">
            <w:pPr>
              <w:spacing w:after="0" w:line="240" w:lineRule="auto"/>
              <w:jc w:val="center"/>
              <w:rPr>
                <w:rFonts w:ascii="Arial" w:hAnsi="Arial" w:cs="Arial"/>
                <w:color w:val="000000"/>
              </w:rPr>
            </w:pPr>
            <w:r>
              <w:rPr>
                <w:rFonts w:ascii="Arial" w:hAnsi="Arial" w:cs="Arial"/>
                <w:color w:val="000000"/>
              </w:rPr>
              <w:t>64</w:t>
            </w:r>
          </w:p>
        </w:tc>
        <w:tc>
          <w:tcPr>
            <w:tcW w:w="1280" w:type="dxa"/>
            <w:tcBorders>
              <w:top w:val="nil"/>
              <w:left w:val="nil"/>
              <w:bottom w:val="single" w:sz="4" w:space="0" w:color="auto"/>
              <w:right w:val="single" w:sz="4" w:space="0" w:color="auto"/>
            </w:tcBorders>
            <w:shd w:val="clear" w:color="auto" w:fill="auto"/>
            <w:noWrap/>
            <w:vAlign w:val="center"/>
            <w:hideMark/>
          </w:tcPr>
          <w:p w:rsidR="000712F9" w:rsidRDefault="000712F9" w:rsidP="000712F9">
            <w:pPr>
              <w:spacing w:after="0" w:line="240" w:lineRule="auto"/>
              <w:jc w:val="center"/>
              <w:rPr>
                <w:rFonts w:ascii="Arial" w:hAnsi="Arial" w:cs="Arial"/>
                <w:color w:val="000000"/>
              </w:rPr>
            </w:pPr>
            <w:r>
              <w:rPr>
                <w:rFonts w:ascii="Arial" w:hAnsi="Arial" w:cs="Arial"/>
                <w:color w:val="000000"/>
              </w:rPr>
              <w:t>97</w:t>
            </w:r>
          </w:p>
        </w:tc>
      </w:tr>
      <w:tr w:rsidR="000712F9" w:rsidRPr="00AE0294" w:rsidTr="000712F9">
        <w:trPr>
          <w:trHeight w:val="570"/>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0712F9" w:rsidRPr="00AE0294" w:rsidRDefault="000712F9" w:rsidP="000712F9">
            <w:pPr>
              <w:spacing w:after="0" w:line="240" w:lineRule="auto"/>
              <w:jc w:val="center"/>
              <w:rPr>
                <w:rFonts w:eastAsia="Times New Roman" w:cstheme="minorHAnsi"/>
                <w:color w:val="000000"/>
                <w:sz w:val="24"/>
                <w:szCs w:val="24"/>
                <w:lang w:eastAsia="en-IN"/>
              </w:rPr>
            </w:pPr>
            <w:r>
              <w:rPr>
                <w:rFonts w:eastAsia="Times New Roman" w:cstheme="minorHAnsi"/>
                <w:color w:val="000000"/>
                <w:sz w:val="24"/>
                <w:szCs w:val="24"/>
                <w:lang w:eastAsia="en-IN"/>
              </w:rPr>
              <w:t>28</w:t>
            </w:r>
          </w:p>
        </w:tc>
        <w:tc>
          <w:tcPr>
            <w:tcW w:w="3551" w:type="dxa"/>
            <w:tcBorders>
              <w:top w:val="nil"/>
              <w:left w:val="nil"/>
              <w:bottom w:val="single" w:sz="4" w:space="0" w:color="auto"/>
              <w:right w:val="single" w:sz="4" w:space="0" w:color="auto"/>
            </w:tcBorders>
            <w:shd w:val="clear" w:color="auto" w:fill="auto"/>
            <w:vAlign w:val="center"/>
            <w:hideMark/>
          </w:tcPr>
          <w:p w:rsidR="000712F9" w:rsidRPr="00AE0294" w:rsidRDefault="000712F9" w:rsidP="000712F9">
            <w:pPr>
              <w:spacing w:after="0" w:line="240" w:lineRule="auto"/>
              <w:jc w:val="both"/>
              <w:rPr>
                <w:rFonts w:eastAsia="Times New Roman" w:cstheme="minorHAnsi"/>
                <w:color w:val="000000"/>
                <w:sz w:val="24"/>
                <w:szCs w:val="24"/>
                <w:lang w:eastAsia="en-IN"/>
              </w:rPr>
            </w:pPr>
            <w:r>
              <w:rPr>
                <w:rFonts w:eastAsia="Times New Roman" w:cstheme="minorHAnsi"/>
                <w:color w:val="000000"/>
                <w:sz w:val="24"/>
                <w:szCs w:val="24"/>
                <w:lang w:eastAsia="en-IN"/>
              </w:rPr>
              <w:t>Imapct on account of True-up in terms of Regulation 12.1 of MYT Regulation, 2007</w:t>
            </w:r>
          </w:p>
        </w:tc>
        <w:tc>
          <w:tcPr>
            <w:tcW w:w="1360" w:type="dxa"/>
            <w:tcBorders>
              <w:top w:val="nil"/>
              <w:left w:val="nil"/>
              <w:bottom w:val="single" w:sz="4" w:space="0" w:color="auto"/>
              <w:right w:val="single" w:sz="4" w:space="0" w:color="auto"/>
            </w:tcBorders>
            <w:shd w:val="clear" w:color="auto" w:fill="auto"/>
            <w:noWrap/>
            <w:vAlign w:val="center"/>
            <w:hideMark/>
          </w:tcPr>
          <w:p w:rsidR="000712F9" w:rsidRDefault="000712F9" w:rsidP="000712F9">
            <w:pPr>
              <w:spacing w:after="0" w:line="240" w:lineRule="auto"/>
              <w:jc w:val="center"/>
              <w:rPr>
                <w:rFonts w:ascii="Arial" w:hAnsi="Arial" w:cs="Arial"/>
                <w:color w:val="000000"/>
              </w:rPr>
            </w:pPr>
            <w:r>
              <w:rPr>
                <w:rFonts w:ascii="Arial" w:hAnsi="Arial" w:cs="Arial"/>
                <w:color w:val="000000"/>
              </w:rPr>
              <w:t>164</w:t>
            </w:r>
          </w:p>
        </w:tc>
        <w:tc>
          <w:tcPr>
            <w:tcW w:w="1360" w:type="dxa"/>
            <w:tcBorders>
              <w:top w:val="nil"/>
              <w:left w:val="nil"/>
              <w:bottom w:val="single" w:sz="4" w:space="0" w:color="auto"/>
              <w:right w:val="single" w:sz="4" w:space="0" w:color="auto"/>
            </w:tcBorders>
            <w:shd w:val="clear" w:color="auto" w:fill="auto"/>
            <w:noWrap/>
            <w:vAlign w:val="center"/>
            <w:hideMark/>
          </w:tcPr>
          <w:p w:rsidR="000712F9" w:rsidRDefault="000712F9" w:rsidP="000712F9">
            <w:pPr>
              <w:spacing w:after="0" w:line="240" w:lineRule="auto"/>
              <w:jc w:val="center"/>
              <w:rPr>
                <w:rFonts w:ascii="Arial" w:hAnsi="Arial" w:cs="Arial"/>
                <w:color w:val="000000"/>
              </w:rPr>
            </w:pPr>
            <w:r>
              <w:rPr>
                <w:rFonts w:ascii="Arial" w:hAnsi="Arial" w:cs="Arial"/>
                <w:color w:val="000000"/>
              </w:rPr>
              <w:t>703</w:t>
            </w:r>
          </w:p>
        </w:tc>
        <w:tc>
          <w:tcPr>
            <w:tcW w:w="1280" w:type="dxa"/>
            <w:tcBorders>
              <w:top w:val="nil"/>
              <w:left w:val="nil"/>
              <w:bottom w:val="single" w:sz="4" w:space="0" w:color="auto"/>
              <w:right w:val="single" w:sz="4" w:space="0" w:color="auto"/>
            </w:tcBorders>
            <w:shd w:val="clear" w:color="auto" w:fill="auto"/>
            <w:noWrap/>
            <w:vAlign w:val="center"/>
            <w:hideMark/>
          </w:tcPr>
          <w:p w:rsidR="000712F9" w:rsidRDefault="000712F9" w:rsidP="000712F9">
            <w:pPr>
              <w:spacing w:after="0" w:line="240" w:lineRule="auto"/>
              <w:jc w:val="center"/>
              <w:rPr>
                <w:rFonts w:ascii="Arial" w:hAnsi="Arial" w:cs="Arial"/>
                <w:color w:val="000000"/>
              </w:rPr>
            </w:pPr>
            <w:r>
              <w:rPr>
                <w:rFonts w:ascii="Arial" w:hAnsi="Arial" w:cs="Arial"/>
                <w:color w:val="000000"/>
              </w:rPr>
              <w:t>867</w:t>
            </w:r>
          </w:p>
        </w:tc>
      </w:tr>
      <w:tr w:rsidR="000712F9" w:rsidRPr="00AE0294" w:rsidTr="000712F9">
        <w:trPr>
          <w:trHeight w:val="710"/>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0712F9" w:rsidRPr="00AE0294" w:rsidRDefault="000712F9" w:rsidP="000712F9">
            <w:pPr>
              <w:spacing w:after="0" w:line="240" w:lineRule="auto"/>
              <w:jc w:val="center"/>
              <w:rPr>
                <w:rFonts w:eastAsia="Times New Roman" w:cstheme="minorHAnsi"/>
                <w:color w:val="000000"/>
                <w:sz w:val="24"/>
                <w:szCs w:val="24"/>
                <w:lang w:eastAsia="en-IN"/>
              </w:rPr>
            </w:pPr>
            <w:r>
              <w:rPr>
                <w:rFonts w:eastAsia="Times New Roman" w:cstheme="minorHAnsi"/>
                <w:color w:val="000000"/>
                <w:sz w:val="24"/>
                <w:szCs w:val="24"/>
                <w:lang w:eastAsia="en-IN"/>
              </w:rPr>
              <w:t>29</w:t>
            </w:r>
          </w:p>
        </w:tc>
        <w:tc>
          <w:tcPr>
            <w:tcW w:w="3551" w:type="dxa"/>
            <w:tcBorders>
              <w:top w:val="nil"/>
              <w:left w:val="nil"/>
              <w:bottom w:val="single" w:sz="4" w:space="0" w:color="auto"/>
              <w:right w:val="single" w:sz="4" w:space="0" w:color="auto"/>
            </w:tcBorders>
            <w:shd w:val="clear" w:color="auto" w:fill="auto"/>
            <w:vAlign w:val="center"/>
            <w:hideMark/>
          </w:tcPr>
          <w:p w:rsidR="000712F9" w:rsidRPr="00AE0294" w:rsidRDefault="000712F9" w:rsidP="000712F9">
            <w:pPr>
              <w:spacing w:after="0" w:line="240" w:lineRule="auto"/>
              <w:jc w:val="both"/>
              <w:rPr>
                <w:rFonts w:eastAsia="Times New Roman" w:cstheme="minorHAnsi"/>
                <w:color w:val="000000"/>
                <w:sz w:val="24"/>
                <w:szCs w:val="24"/>
                <w:lang w:eastAsia="en-IN"/>
              </w:rPr>
            </w:pPr>
            <w:r>
              <w:rPr>
                <w:rFonts w:eastAsia="Times New Roman" w:cstheme="minorHAnsi"/>
                <w:color w:val="000000"/>
                <w:sz w:val="24"/>
                <w:szCs w:val="24"/>
                <w:lang w:eastAsia="en-IN"/>
              </w:rPr>
              <w:t>P</w:t>
            </w:r>
            <w:r w:rsidRPr="00AE0294">
              <w:rPr>
                <w:rFonts w:eastAsia="Times New Roman" w:cstheme="minorHAnsi"/>
                <w:color w:val="000000"/>
                <w:sz w:val="24"/>
                <w:szCs w:val="24"/>
                <w:lang w:eastAsia="en-IN"/>
              </w:rPr>
              <w:t xml:space="preserve">enalty on account delay in depositing pension trust amounts </w:t>
            </w:r>
          </w:p>
        </w:tc>
        <w:tc>
          <w:tcPr>
            <w:tcW w:w="1360" w:type="dxa"/>
            <w:tcBorders>
              <w:top w:val="nil"/>
              <w:left w:val="nil"/>
              <w:bottom w:val="single" w:sz="4" w:space="0" w:color="auto"/>
              <w:right w:val="single" w:sz="4" w:space="0" w:color="auto"/>
            </w:tcBorders>
            <w:shd w:val="clear" w:color="auto" w:fill="auto"/>
            <w:noWrap/>
            <w:vAlign w:val="center"/>
            <w:hideMark/>
          </w:tcPr>
          <w:p w:rsidR="000712F9" w:rsidRDefault="000712F9" w:rsidP="000712F9">
            <w:pPr>
              <w:spacing w:after="0" w:line="240" w:lineRule="auto"/>
              <w:jc w:val="center"/>
              <w:rPr>
                <w:rFonts w:ascii="Arial" w:hAnsi="Arial" w:cs="Arial"/>
                <w:color w:val="000000"/>
              </w:rPr>
            </w:pPr>
            <w:r>
              <w:rPr>
                <w:rFonts w:ascii="Arial" w:hAnsi="Arial" w:cs="Arial"/>
                <w:color w:val="000000"/>
              </w:rPr>
              <w:t>1</w:t>
            </w:r>
          </w:p>
        </w:tc>
        <w:tc>
          <w:tcPr>
            <w:tcW w:w="1360" w:type="dxa"/>
            <w:tcBorders>
              <w:top w:val="nil"/>
              <w:left w:val="nil"/>
              <w:bottom w:val="single" w:sz="4" w:space="0" w:color="auto"/>
              <w:right w:val="single" w:sz="4" w:space="0" w:color="auto"/>
            </w:tcBorders>
            <w:shd w:val="clear" w:color="auto" w:fill="auto"/>
            <w:noWrap/>
            <w:vAlign w:val="center"/>
            <w:hideMark/>
          </w:tcPr>
          <w:p w:rsidR="000712F9" w:rsidRDefault="000712F9" w:rsidP="000712F9">
            <w:pPr>
              <w:spacing w:after="0" w:line="240" w:lineRule="auto"/>
              <w:jc w:val="center"/>
              <w:rPr>
                <w:rFonts w:ascii="Arial" w:hAnsi="Arial" w:cs="Arial"/>
                <w:color w:val="000000"/>
              </w:rPr>
            </w:pPr>
            <w:r>
              <w:rPr>
                <w:rFonts w:ascii="Arial" w:hAnsi="Arial" w:cs="Arial"/>
                <w:color w:val="000000"/>
              </w:rPr>
              <w:t>1</w:t>
            </w:r>
          </w:p>
        </w:tc>
        <w:tc>
          <w:tcPr>
            <w:tcW w:w="1280" w:type="dxa"/>
            <w:tcBorders>
              <w:top w:val="nil"/>
              <w:left w:val="nil"/>
              <w:bottom w:val="single" w:sz="4" w:space="0" w:color="auto"/>
              <w:right w:val="single" w:sz="4" w:space="0" w:color="auto"/>
            </w:tcBorders>
            <w:shd w:val="clear" w:color="auto" w:fill="auto"/>
            <w:noWrap/>
            <w:vAlign w:val="center"/>
            <w:hideMark/>
          </w:tcPr>
          <w:p w:rsidR="000712F9" w:rsidRDefault="000712F9" w:rsidP="000712F9">
            <w:pPr>
              <w:spacing w:after="0" w:line="240" w:lineRule="auto"/>
              <w:jc w:val="center"/>
              <w:rPr>
                <w:rFonts w:ascii="Arial" w:hAnsi="Arial" w:cs="Arial"/>
                <w:color w:val="000000"/>
              </w:rPr>
            </w:pPr>
            <w:r>
              <w:rPr>
                <w:rFonts w:ascii="Arial" w:hAnsi="Arial" w:cs="Arial"/>
                <w:color w:val="000000"/>
              </w:rPr>
              <w:t>2</w:t>
            </w:r>
          </w:p>
        </w:tc>
      </w:tr>
      <w:tr w:rsidR="00726DAB" w:rsidRPr="00AE0294" w:rsidTr="006D6634">
        <w:trPr>
          <w:trHeight w:val="570"/>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726DAB" w:rsidRPr="00AE0294" w:rsidRDefault="008F5F8C" w:rsidP="000712F9">
            <w:pPr>
              <w:spacing w:after="0" w:line="240" w:lineRule="auto"/>
              <w:jc w:val="center"/>
              <w:rPr>
                <w:rFonts w:eastAsia="Times New Roman" w:cstheme="minorHAnsi"/>
                <w:color w:val="000000"/>
                <w:sz w:val="24"/>
                <w:szCs w:val="24"/>
                <w:lang w:eastAsia="en-IN"/>
              </w:rPr>
            </w:pPr>
            <w:r>
              <w:rPr>
                <w:rFonts w:eastAsia="Times New Roman" w:cstheme="minorHAnsi"/>
                <w:color w:val="000000"/>
                <w:sz w:val="24"/>
                <w:szCs w:val="24"/>
                <w:lang w:eastAsia="en-IN"/>
              </w:rPr>
              <w:t>30</w:t>
            </w:r>
          </w:p>
        </w:tc>
        <w:tc>
          <w:tcPr>
            <w:tcW w:w="3551" w:type="dxa"/>
            <w:tcBorders>
              <w:top w:val="nil"/>
              <w:left w:val="nil"/>
              <w:bottom w:val="single" w:sz="4" w:space="0" w:color="auto"/>
              <w:right w:val="single" w:sz="4" w:space="0" w:color="auto"/>
            </w:tcBorders>
            <w:shd w:val="clear" w:color="auto" w:fill="auto"/>
            <w:vAlign w:val="center"/>
            <w:hideMark/>
          </w:tcPr>
          <w:p w:rsidR="00726DAB" w:rsidRPr="00AE0294" w:rsidRDefault="00726DAB" w:rsidP="000712F9">
            <w:pPr>
              <w:spacing w:after="0" w:line="240" w:lineRule="auto"/>
              <w:jc w:val="both"/>
              <w:rPr>
                <w:rFonts w:eastAsia="Times New Roman" w:cstheme="minorHAnsi"/>
                <w:color w:val="000000"/>
                <w:sz w:val="24"/>
                <w:szCs w:val="24"/>
                <w:lang w:eastAsia="en-IN"/>
              </w:rPr>
            </w:pPr>
            <w:r w:rsidRPr="00AE0294">
              <w:rPr>
                <w:rFonts w:eastAsia="Times New Roman" w:cstheme="minorHAnsi"/>
                <w:color w:val="000000"/>
                <w:sz w:val="24"/>
                <w:szCs w:val="24"/>
                <w:lang w:eastAsia="en-IN"/>
              </w:rPr>
              <w:t>Incorrect truing</w:t>
            </w:r>
            <w:r>
              <w:rPr>
                <w:rFonts w:eastAsia="Times New Roman" w:cstheme="minorHAnsi"/>
                <w:color w:val="000000"/>
                <w:sz w:val="24"/>
                <w:szCs w:val="24"/>
                <w:lang w:eastAsia="en-IN"/>
              </w:rPr>
              <w:t xml:space="preserve"> up of carrying cost rates for FY 20</w:t>
            </w:r>
            <w:r w:rsidRPr="00AE0294">
              <w:rPr>
                <w:rFonts w:eastAsia="Times New Roman" w:cstheme="minorHAnsi"/>
                <w:color w:val="000000"/>
                <w:sz w:val="24"/>
                <w:szCs w:val="24"/>
                <w:lang w:eastAsia="en-IN"/>
              </w:rPr>
              <w:t xml:space="preserve">17-18 to </w:t>
            </w:r>
            <w:r>
              <w:rPr>
                <w:rFonts w:eastAsia="Times New Roman" w:cstheme="minorHAnsi"/>
                <w:color w:val="000000"/>
                <w:sz w:val="24"/>
                <w:szCs w:val="24"/>
                <w:lang w:eastAsia="en-IN"/>
              </w:rPr>
              <w:t>FY 20</w:t>
            </w:r>
            <w:r w:rsidRPr="00AE0294">
              <w:rPr>
                <w:rFonts w:eastAsia="Times New Roman" w:cstheme="minorHAnsi"/>
                <w:color w:val="000000"/>
                <w:sz w:val="24"/>
                <w:szCs w:val="24"/>
                <w:lang w:eastAsia="en-IN"/>
              </w:rPr>
              <w:t xml:space="preserve">19-20. </w:t>
            </w:r>
          </w:p>
        </w:tc>
        <w:tc>
          <w:tcPr>
            <w:tcW w:w="4000" w:type="dxa"/>
            <w:gridSpan w:val="3"/>
            <w:tcBorders>
              <w:top w:val="nil"/>
              <w:left w:val="nil"/>
              <w:bottom w:val="single" w:sz="4" w:space="0" w:color="auto"/>
              <w:right w:val="single" w:sz="4" w:space="0" w:color="auto"/>
            </w:tcBorders>
            <w:shd w:val="clear" w:color="auto" w:fill="auto"/>
            <w:noWrap/>
            <w:vAlign w:val="center"/>
          </w:tcPr>
          <w:p w:rsidR="00726DAB" w:rsidRPr="00AE0294" w:rsidRDefault="00726DAB" w:rsidP="000712F9">
            <w:pPr>
              <w:spacing w:after="0" w:line="240" w:lineRule="auto"/>
              <w:jc w:val="center"/>
              <w:rPr>
                <w:rFonts w:eastAsia="Times New Roman" w:cstheme="minorHAnsi"/>
                <w:color w:val="000000"/>
                <w:sz w:val="24"/>
                <w:szCs w:val="24"/>
                <w:lang w:eastAsia="en-IN"/>
              </w:rPr>
            </w:pPr>
            <w:r>
              <w:rPr>
                <w:rFonts w:eastAsia="Times New Roman" w:cstheme="minorHAnsi"/>
                <w:color w:val="000000"/>
                <w:sz w:val="24"/>
                <w:szCs w:val="24"/>
                <w:lang w:eastAsia="en-IN"/>
              </w:rPr>
              <w:t>Considered while claiming impact on respective issues</w:t>
            </w:r>
          </w:p>
        </w:tc>
      </w:tr>
      <w:tr w:rsidR="000712F9" w:rsidRPr="00AE0294" w:rsidTr="006812F7">
        <w:trPr>
          <w:trHeight w:val="330"/>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0712F9" w:rsidRPr="00AE0294" w:rsidRDefault="000712F9" w:rsidP="000712F9">
            <w:pPr>
              <w:spacing w:after="0" w:line="240" w:lineRule="auto"/>
              <w:jc w:val="center"/>
              <w:rPr>
                <w:rFonts w:eastAsia="Times New Roman" w:cstheme="minorHAnsi"/>
                <w:color w:val="000000"/>
                <w:sz w:val="24"/>
                <w:szCs w:val="24"/>
                <w:lang w:eastAsia="en-IN"/>
              </w:rPr>
            </w:pPr>
            <w:r>
              <w:rPr>
                <w:rFonts w:eastAsia="Times New Roman" w:cstheme="minorHAnsi"/>
                <w:color w:val="000000"/>
                <w:sz w:val="24"/>
                <w:szCs w:val="24"/>
                <w:lang w:eastAsia="en-IN"/>
              </w:rPr>
              <w:t>31</w:t>
            </w:r>
          </w:p>
        </w:tc>
        <w:tc>
          <w:tcPr>
            <w:tcW w:w="3551" w:type="dxa"/>
            <w:tcBorders>
              <w:top w:val="nil"/>
              <w:left w:val="nil"/>
              <w:bottom w:val="single" w:sz="4" w:space="0" w:color="auto"/>
              <w:right w:val="single" w:sz="4" w:space="0" w:color="auto"/>
            </w:tcBorders>
            <w:shd w:val="clear" w:color="auto" w:fill="auto"/>
            <w:vAlign w:val="center"/>
            <w:hideMark/>
          </w:tcPr>
          <w:p w:rsidR="000712F9" w:rsidRPr="00AE0294" w:rsidRDefault="000712F9" w:rsidP="000712F9">
            <w:pPr>
              <w:spacing w:after="0" w:line="240" w:lineRule="auto"/>
              <w:jc w:val="both"/>
              <w:rPr>
                <w:rFonts w:eastAsia="Times New Roman" w:cstheme="minorHAnsi"/>
                <w:color w:val="000000"/>
                <w:sz w:val="24"/>
                <w:szCs w:val="24"/>
                <w:lang w:eastAsia="en-IN"/>
              </w:rPr>
            </w:pPr>
            <w:r w:rsidRPr="00AE0294">
              <w:rPr>
                <w:rFonts w:eastAsia="Times New Roman" w:cstheme="minorHAnsi"/>
                <w:color w:val="000000"/>
                <w:sz w:val="24"/>
                <w:szCs w:val="24"/>
                <w:lang w:eastAsia="en-IN"/>
              </w:rPr>
              <w:t xml:space="preserve">Interest on funding of carrying cost                              </w:t>
            </w:r>
          </w:p>
        </w:tc>
        <w:tc>
          <w:tcPr>
            <w:tcW w:w="1360" w:type="dxa"/>
            <w:tcBorders>
              <w:top w:val="nil"/>
              <w:left w:val="nil"/>
              <w:bottom w:val="single" w:sz="4" w:space="0" w:color="auto"/>
              <w:right w:val="single" w:sz="4" w:space="0" w:color="auto"/>
            </w:tcBorders>
            <w:shd w:val="clear" w:color="auto" w:fill="auto"/>
            <w:noWrap/>
            <w:vAlign w:val="center"/>
            <w:hideMark/>
          </w:tcPr>
          <w:p w:rsidR="000712F9" w:rsidRDefault="000712F9" w:rsidP="000712F9">
            <w:pPr>
              <w:spacing w:after="0" w:line="240" w:lineRule="auto"/>
              <w:jc w:val="center"/>
              <w:rPr>
                <w:rFonts w:ascii="Arial" w:hAnsi="Arial" w:cs="Arial"/>
                <w:color w:val="000000"/>
              </w:rPr>
            </w:pPr>
            <w:r>
              <w:rPr>
                <w:rFonts w:ascii="Arial" w:hAnsi="Arial" w:cs="Arial"/>
                <w:color w:val="000000"/>
              </w:rPr>
              <w:t>0</w:t>
            </w:r>
          </w:p>
        </w:tc>
        <w:tc>
          <w:tcPr>
            <w:tcW w:w="1360" w:type="dxa"/>
            <w:tcBorders>
              <w:top w:val="nil"/>
              <w:left w:val="nil"/>
              <w:bottom w:val="single" w:sz="4" w:space="0" w:color="auto"/>
              <w:right w:val="single" w:sz="4" w:space="0" w:color="auto"/>
            </w:tcBorders>
            <w:shd w:val="clear" w:color="auto" w:fill="auto"/>
            <w:noWrap/>
            <w:vAlign w:val="center"/>
            <w:hideMark/>
          </w:tcPr>
          <w:p w:rsidR="000712F9" w:rsidRDefault="000712F9" w:rsidP="000712F9">
            <w:pPr>
              <w:spacing w:after="0" w:line="240" w:lineRule="auto"/>
              <w:jc w:val="center"/>
              <w:rPr>
                <w:rFonts w:ascii="Arial" w:hAnsi="Arial" w:cs="Arial"/>
                <w:color w:val="000000"/>
              </w:rPr>
            </w:pPr>
            <w:r>
              <w:rPr>
                <w:rFonts w:ascii="Arial" w:hAnsi="Arial" w:cs="Arial"/>
                <w:color w:val="000000"/>
              </w:rPr>
              <w:t>75</w:t>
            </w:r>
          </w:p>
        </w:tc>
        <w:tc>
          <w:tcPr>
            <w:tcW w:w="1280" w:type="dxa"/>
            <w:tcBorders>
              <w:top w:val="nil"/>
              <w:left w:val="nil"/>
              <w:bottom w:val="single" w:sz="4" w:space="0" w:color="auto"/>
              <w:right w:val="single" w:sz="4" w:space="0" w:color="auto"/>
            </w:tcBorders>
            <w:shd w:val="clear" w:color="auto" w:fill="auto"/>
            <w:noWrap/>
            <w:vAlign w:val="center"/>
            <w:hideMark/>
          </w:tcPr>
          <w:p w:rsidR="000712F9" w:rsidRDefault="000712F9" w:rsidP="000712F9">
            <w:pPr>
              <w:spacing w:after="0" w:line="240" w:lineRule="auto"/>
              <w:jc w:val="center"/>
              <w:rPr>
                <w:rFonts w:ascii="Arial" w:hAnsi="Arial" w:cs="Arial"/>
                <w:color w:val="000000"/>
              </w:rPr>
            </w:pPr>
            <w:r>
              <w:rPr>
                <w:rFonts w:ascii="Arial" w:hAnsi="Arial" w:cs="Arial"/>
                <w:color w:val="000000"/>
              </w:rPr>
              <w:t>75</w:t>
            </w:r>
          </w:p>
        </w:tc>
      </w:tr>
      <w:tr w:rsidR="00816FFD" w:rsidRPr="00AE0294" w:rsidTr="00727936">
        <w:trPr>
          <w:trHeight w:val="570"/>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816FFD" w:rsidRPr="00AE0294" w:rsidRDefault="008F5F8C" w:rsidP="000712F9">
            <w:pPr>
              <w:spacing w:after="0" w:line="240" w:lineRule="auto"/>
              <w:jc w:val="center"/>
              <w:rPr>
                <w:rFonts w:eastAsia="Times New Roman" w:cstheme="minorHAnsi"/>
                <w:color w:val="000000"/>
                <w:sz w:val="24"/>
                <w:szCs w:val="24"/>
                <w:lang w:eastAsia="en-IN"/>
              </w:rPr>
            </w:pPr>
            <w:r>
              <w:rPr>
                <w:rFonts w:eastAsia="Times New Roman" w:cstheme="minorHAnsi"/>
                <w:color w:val="000000"/>
                <w:sz w:val="24"/>
                <w:szCs w:val="24"/>
                <w:lang w:eastAsia="en-IN"/>
              </w:rPr>
              <w:t>32</w:t>
            </w:r>
          </w:p>
        </w:tc>
        <w:tc>
          <w:tcPr>
            <w:tcW w:w="3551" w:type="dxa"/>
            <w:tcBorders>
              <w:top w:val="nil"/>
              <w:left w:val="nil"/>
              <w:bottom w:val="single" w:sz="4" w:space="0" w:color="auto"/>
              <w:right w:val="single" w:sz="4" w:space="0" w:color="auto"/>
            </w:tcBorders>
            <w:shd w:val="clear" w:color="auto" w:fill="auto"/>
            <w:vAlign w:val="center"/>
            <w:hideMark/>
          </w:tcPr>
          <w:p w:rsidR="00816FFD" w:rsidRPr="00AE0294" w:rsidRDefault="00816FFD" w:rsidP="000712F9">
            <w:pPr>
              <w:spacing w:after="0" w:line="240" w:lineRule="auto"/>
              <w:jc w:val="both"/>
              <w:rPr>
                <w:rFonts w:eastAsia="Times New Roman" w:cstheme="minorHAnsi"/>
                <w:color w:val="000000"/>
                <w:sz w:val="24"/>
                <w:szCs w:val="24"/>
                <w:lang w:eastAsia="en-IN"/>
              </w:rPr>
            </w:pPr>
            <w:r w:rsidRPr="00AE0294">
              <w:rPr>
                <w:rFonts w:eastAsia="Times New Roman" w:cstheme="minorHAnsi"/>
                <w:color w:val="000000"/>
                <w:sz w:val="24"/>
                <w:szCs w:val="24"/>
                <w:lang w:eastAsia="en-IN"/>
              </w:rPr>
              <w:t>Non consideration of routing of depreciation to equity</w:t>
            </w:r>
          </w:p>
        </w:tc>
        <w:tc>
          <w:tcPr>
            <w:tcW w:w="4000" w:type="dxa"/>
            <w:gridSpan w:val="3"/>
            <w:tcBorders>
              <w:top w:val="nil"/>
              <w:left w:val="nil"/>
              <w:bottom w:val="single" w:sz="4" w:space="0" w:color="auto"/>
              <w:right w:val="single" w:sz="4" w:space="0" w:color="auto"/>
            </w:tcBorders>
            <w:shd w:val="clear" w:color="auto" w:fill="auto"/>
            <w:noWrap/>
            <w:vAlign w:val="center"/>
            <w:hideMark/>
          </w:tcPr>
          <w:p w:rsidR="00816FFD" w:rsidRPr="00AE0294" w:rsidRDefault="00816FFD" w:rsidP="000712F9">
            <w:pPr>
              <w:spacing w:after="0" w:line="240" w:lineRule="auto"/>
              <w:jc w:val="center"/>
              <w:rPr>
                <w:rFonts w:eastAsia="Times New Roman" w:cstheme="minorHAnsi"/>
                <w:color w:val="000000"/>
                <w:sz w:val="24"/>
                <w:szCs w:val="24"/>
                <w:lang w:eastAsia="en-IN"/>
              </w:rPr>
            </w:pPr>
            <w:r>
              <w:rPr>
                <w:rFonts w:eastAsia="Times New Roman" w:cstheme="minorHAnsi"/>
                <w:color w:val="000000"/>
                <w:sz w:val="24"/>
                <w:szCs w:val="24"/>
                <w:lang w:eastAsia="en-IN"/>
              </w:rPr>
              <w:t xml:space="preserve">Please refer note in </w:t>
            </w:r>
            <w:r w:rsidR="008F5F8C">
              <w:rPr>
                <w:rFonts w:eastAsia="Times New Roman" w:cstheme="minorHAnsi"/>
                <w:color w:val="000000"/>
                <w:sz w:val="24"/>
                <w:szCs w:val="24"/>
                <w:lang w:eastAsia="en-IN"/>
              </w:rPr>
              <w:t>category</w:t>
            </w:r>
            <w:r>
              <w:rPr>
                <w:rFonts w:eastAsia="Times New Roman" w:cstheme="minorHAnsi"/>
                <w:color w:val="000000"/>
                <w:sz w:val="24"/>
                <w:szCs w:val="24"/>
                <w:lang w:eastAsia="en-IN"/>
              </w:rPr>
              <w:t xml:space="preserve"> B above</w:t>
            </w:r>
          </w:p>
        </w:tc>
      </w:tr>
      <w:tr w:rsidR="000712F9" w:rsidRPr="00AE0294" w:rsidTr="006812F7">
        <w:trPr>
          <w:trHeight w:val="570"/>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0712F9" w:rsidRPr="00AE0294" w:rsidRDefault="000712F9" w:rsidP="000712F9">
            <w:pPr>
              <w:spacing w:after="0" w:line="240" w:lineRule="auto"/>
              <w:jc w:val="center"/>
              <w:rPr>
                <w:rFonts w:eastAsia="Times New Roman" w:cstheme="minorHAnsi"/>
                <w:color w:val="000000"/>
                <w:sz w:val="24"/>
                <w:szCs w:val="24"/>
                <w:lang w:eastAsia="en-IN"/>
              </w:rPr>
            </w:pPr>
            <w:r>
              <w:rPr>
                <w:rFonts w:eastAsia="Times New Roman" w:cstheme="minorHAnsi"/>
                <w:color w:val="000000"/>
                <w:sz w:val="24"/>
                <w:szCs w:val="24"/>
                <w:lang w:eastAsia="en-IN"/>
              </w:rPr>
              <w:t>33</w:t>
            </w:r>
          </w:p>
        </w:tc>
        <w:tc>
          <w:tcPr>
            <w:tcW w:w="3551" w:type="dxa"/>
            <w:tcBorders>
              <w:top w:val="nil"/>
              <w:left w:val="nil"/>
              <w:bottom w:val="single" w:sz="4" w:space="0" w:color="auto"/>
              <w:right w:val="single" w:sz="4" w:space="0" w:color="auto"/>
            </w:tcBorders>
            <w:shd w:val="clear" w:color="auto" w:fill="auto"/>
            <w:vAlign w:val="center"/>
            <w:hideMark/>
          </w:tcPr>
          <w:p w:rsidR="000712F9" w:rsidRPr="00AE0294" w:rsidRDefault="000712F9" w:rsidP="000712F9">
            <w:pPr>
              <w:spacing w:after="0" w:line="240" w:lineRule="auto"/>
              <w:jc w:val="both"/>
              <w:rPr>
                <w:rFonts w:eastAsia="Times New Roman" w:cstheme="minorHAnsi"/>
                <w:color w:val="000000"/>
                <w:sz w:val="24"/>
                <w:szCs w:val="24"/>
                <w:lang w:eastAsia="en-IN"/>
              </w:rPr>
            </w:pPr>
            <w:r w:rsidRPr="00AE0294">
              <w:rPr>
                <w:rFonts w:eastAsia="Times New Roman" w:cstheme="minorHAnsi"/>
                <w:color w:val="000000"/>
                <w:sz w:val="24"/>
                <w:szCs w:val="24"/>
                <w:lang w:eastAsia="en-IN"/>
              </w:rPr>
              <w:t xml:space="preserve">Non-consideration of Bank Charges </w:t>
            </w:r>
            <w:r>
              <w:rPr>
                <w:rFonts w:eastAsia="Times New Roman" w:cstheme="minorHAnsi"/>
                <w:color w:val="000000"/>
                <w:sz w:val="24"/>
                <w:szCs w:val="24"/>
                <w:lang w:eastAsia="en-IN"/>
              </w:rPr>
              <w:t>for 1</w:t>
            </w:r>
            <w:r w:rsidRPr="009D7190">
              <w:rPr>
                <w:rFonts w:eastAsia="Times New Roman" w:cstheme="minorHAnsi"/>
                <w:color w:val="000000"/>
                <w:sz w:val="24"/>
                <w:szCs w:val="24"/>
                <w:vertAlign w:val="superscript"/>
                <w:lang w:eastAsia="en-IN"/>
              </w:rPr>
              <w:t>st</w:t>
            </w:r>
            <w:r>
              <w:rPr>
                <w:rFonts w:eastAsia="Times New Roman" w:cstheme="minorHAnsi"/>
                <w:color w:val="000000"/>
                <w:sz w:val="24"/>
                <w:szCs w:val="24"/>
                <w:lang w:eastAsia="en-IN"/>
              </w:rPr>
              <w:t xml:space="preserve"> </w:t>
            </w:r>
            <w:r w:rsidRPr="00AE0294">
              <w:rPr>
                <w:rFonts w:eastAsia="Times New Roman" w:cstheme="minorHAnsi"/>
                <w:color w:val="000000"/>
                <w:sz w:val="24"/>
                <w:szCs w:val="24"/>
                <w:lang w:eastAsia="en-IN"/>
              </w:rPr>
              <w:t>MYT Period</w:t>
            </w:r>
          </w:p>
        </w:tc>
        <w:tc>
          <w:tcPr>
            <w:tcW w:w="1360" w:type="dxa"/>
            <w:tcBorders>
              <w:top w:val="nil"/>
              <w:left w:val="nil"/>
              <w:bottom w:val="single" w:sz="4" w:space="0" w:color="auto"/>
              <w:right w:val="single" w:sz="4" w:space="0" w:color="auto"/>
            </w:tcBorders>
            <w:shd w:val="clear" w:color="auto" w:fill="auto"/>
            <w:noWrap/>
            <w:vAlign w:val="center"/>
            <w:hideMark/>
          </w:tcPr>
          <w:p w:rsidR="000712F9" w:rsidRDefault="000712F9" w:rsidP="000712F9">
            <w:pPr>
              <w:spacing w:after="0" w:line="240" w:lineRule="auto"/>
              <w:jc w:val="center"/>
              <w:rPr>
                <w:rFonts w:ascii="Arial" w:hAnsi="Arial" w:cs="Arial"/>
                <w:color w:val="000000"/>
              </w:rPr>
            </w:pPr>
            <w:r>
              <w:rPr>
                <w:rFonts w:ascii="Arial" w:hAnsi="Arial" w:cs="Arial"/>
                <w:color w:val="000000"/>
              </w:rPr>
              <w:t>47</w:t>
            </w:r>
          </w:p>
        </w:tc>
        <w:tc>
          <w:tcPr>
            <w:tcW w:w="1360" w:type="dxa"/>
            <w:tcBorders>
              <w:top w:val="nil"/>
              <w:left w:val="nil"/>
              <w:bottom w:val="single" w:sz="4" w:space="0" w:color="auto"/>
              <w:right w:val="single" w:sz="4" w:space="0" w:color="auto"/>
            </w:tcBorders>
            <w:shd w:val="clear" w:color="auto" w:fill="auto"/>
            <w:noWrap/>
            <w:vAlign w:val="center"/>
            <w:hideMark/>
          </w:tcPr>
          <w:p w:rsidR="000712F9" w:rsidRDefault="000712F9" w:rsidP="000712F9">
            <w:pPr>
              <w:spacing w:after="0" w:line="240" w:lineRule="auto"/>
              <w:jc w:val="center"/>
              <w:rPr>
                <w:rFonts w:ascii="Arial" w:hAnsi="Arial" w:cs="Arial"/>
                <w:color w:val="000000"/>
              </w:rPr>
            </w:pPr>
            <w:r>
              <w:rPr>
                <w:rFonts w:ascii="Arial" w:hAnsi="Arial" w:cs="Arial"/>
                <w:color w:val="000000"/>
              </w:rPr>
              <w:t>157</w:t>
            </w:r>
          </w:p>
        </w:tc>
        <w:tc>
          <w:tcPr>
            <w:tcW w:w="1280" w:type="dxa"/>
            <w:tcBorders>
              <w:top w:val="nil"/>
              <w:left w:val="nil"/>
              <w:bottom w:val="single" w:sz="4" w:space="0" w:color="auto"/>
              <w:right w:val="single" w:sz="4" w:space="0" w:color="auto"/>
            </w:tcBorders>
            <w:shd w:val="clear" w:color="auto" w:fill="auto"/>
            <w:noWrap/>
            <w:vAlign w:val="center"/>
            <w:hideMark/>
          </w:tcPr>
          <w:p w:rsidR="000712F9" w:rsidRDefault="000712F9" w:rsidP="000712F9">
            <w:pPr>
              <w:spacing w:after="0" w:line="240" w:lineRule="auto"/>
              <w:jc w:val="center"/>
              <w:rPr>
                <w:rFonts w:ascii="Arial" w:hAnsi="Arial" w:cs="Arial"/>
                <w:color w:val="000000"/>
              </w:rPr>
            </w:pPr>
            <w:r>
              <w:rPr>
                <w:rFonts w:ascii="Arial" w:hAnsi="Arial" w:cs="Arial"/>
                <w:color w:val="000000"/>
              </w:rPr>
              <w:t>204</w:t>
            </w:r>
          </w:p>
        </w:tc>
      </w:tr>
      <w:tr w:rsidR="000712F9" w:rsidRPr="00AE0294" w:rsidTr="006812F7">
        <w:trPr>
          <w:trHeight w:val="570"/>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0712F9" w:rsidRPr="00AE0294" w:rsidRDefault="000712F9" w:rsidP="000712F9">
            <w:pPr>
              <w:spacing w:after="0" w:line="240" w:lineRule="auto"/>
              <w:jc w:val="center"/>
              <w:rPr>
                <w:rFonts w:eastAsia="Times New Roman" w:cstheme="minorHAnsi"/>
                <w:color w:val="000000"/>
                <w:sz w:val="24"/>
                <w:szCs w:val="24"/>
                <w:lang w:eastAsia="en-IN"/>
              </w:rPr>
            </w:pPr>
            <w:r>
              <w:rPr>
                <w:rFonts w:eastAsia="Times New Roman" w:cstheme="minorHAnsi"/>
                <w:color w:val="000000"/>
                <w:sz w:val="24"/>
                <w:szCs w:val="24"/>
                <w:lang w:eastAsia="en-IN"/>
              </w:rPr>
              <w:t>34</w:t>
            </w:r>
          </w:p>
        </w:tc>
        <w:tc>
          <w:tcPr>
            <w:tcW w:w="3551" w:type="dxa"/>
            <w:tcBorders>
              <w:top w:val="nil"/>
              <w:left w:val="nil"/>
              <w:bottom w:val="single" w:sz="4" w:space="0" w:color="auto"/>
              <w:right w:val="single" w:sz="4" w:space="0" w:color="auto"/>
            </w:tcBorders>
            <w:shd w:val="clear" w:color="auto" w:fill="auto"/>
            <w:vAlign w:val="center"/>
            <w:hideMark/>
          </w:tcPr>
          <w:p w:rsidR="000712F9" w:rsidRPr="00AE0294" w:rsidRDefault="000712F9" w:rsidP="000712F9">
            <w:pPr>
              <w:spacing w:after="0" w:line="240" w:lineRule="auto"/>
              <w:jc w:val="both"/>
              <w:rPr>
                <w:rFonts w:eastAsia="Times New Roman" w:cstheme="minorHAnsi"/>
                <w:color w:val="000000"/>
                <w:sz w:val="24"/>
                <w:szCs w:val="24"/>
                <w:lang w:eastAsia="en-IN"/>
              </w:rPr>
            </w:pPr>
            <w:r w:rsidRPr="00AE0294">
              <w:rPr>
                <w:rFonts w:eastAsia="Times New Roman" w:cstheme="minorHAnsi"/>
                <w:color w:val="000000"/>
                <w:sz w:val="24"/>
                <w:szCs w:val="24"/>
                <w:lang w:eastAsia="en-IN"/>
              </w:rPr>
              <w:t>Treatment of income-tax contrary to regulations</w:t>
            </w:r>
          </w:p>
        </w:tc>
        <w:tc>
          <w:tcPr>
            <w:tcW w:w="1360" w:type="dxa"/>
            <w:tcBorders>
              <w:top w:val="nil"/>
              <w:left w:val="nil"/>
              <w:bottom w:val="single" w:sz="4" w:space="0" w:color="auto"/>
              <w:right w:val="single" w:sz="4" w:space="0" w:color="auto"/>
            </w:tcBorders>
            <w:shd w:val="clear" w:color="auto" w:fill="auto"/>
            <w:noWrap/>
            <w:vAlign w:val="center"/>
            <w:hideMark/>
          </w:tcPr>
          <w:p w:rsidR="000712F9" w:rsidRDefault="000712F9" w:rsidP="000712F9">
            <w:pPr>
              <w:spacing w:after="0" w:line="240" w:lineRule="auto"/>
              <w:jc w:val="center"/>
              <w:rPr>
                <w:rFonts w:ascii="Arial" w:hAnsi="Arial" w:cs="Arial"/>
                <w:color w:val="000000"/>
              </w:rPr>
            </w:pPr>
            <w:r>
              <w:rPr>
                <w:rFonts w:ascii="Arial" w:hAnsi="Arial" w:cs="Arial"/>
                <w:color w:val="000000"/>
              </w:rPr>
              <w:t>253</w:t>
            </w:r>
          </w:p>
        </w:tc>
        <w:tc>
          <w:tcPr>
            <w:tcW w:w="1360" w:type="dxa"/>
            <w:tcBorders>
              <w:top w:val="nil"/>
              <w:left w:val="nil"/>
              <w:bottom w:val="single" w:sz="4" w:space="0" w:color="auto"/>
              <w:right w:val="single" w:sz="4" w:space="0" w:color="auto"/>
            </w:tcBorders>
            <w:shd w:val="clear" w:color="auto" w:fill="auto"/>
            <w:noWrap/>
            <w:vAlign w:val="center"/>
            <w:hideMark/>
          </w:tcPr>
          <w:p w:rsidR="000712F9" w:rsidRDefault="000712F9" w:rsidP="000712F9">
            <w:pPr>
              <w:spacing w:after="0" w:line="240" w:lineRule="auto"/>
              <w:jc w:val="center"/>
              <w:rPr>
                <w:rFonts w:ascii="Arial" w:hAnsi="Arial" w:cs="Arial"/>
                <w:color w:val="000000"/>
              </w:rPr>
            </w:pPr>
            <w:r>
              <w:rPr>
                <w:rFonts w:ascii="Arial" w:hAnsi="Arial" w:cs="Arial"/>
                <w:color w:val="000000"/>
              </w:rPr>
              <w:t>414</w:t>
            </w:r>
          </w:p>
        </w:tc>
        <w:tc>
          <w:tcPr>
            <w:tcW w:w="1280" w:type="dxa"/>
            <w:tcBorders>
              <w:top w:val="nil"/>
              <w:left w:val="nil"/>
              <w:bottom w:val="single" w:sz="4" w:space="0" w:color="auto"/>
              <w:right w:val="single" w:sz="4" w:space="0" w:color="auto"/>
            </w:tcBorders>
            <w:shd w:val="clear" w:color="auto" w:fill="auto"/>
            <w:noWrap/>
            <w:vAlign w:val="center"/>
            <w:hideMark/>
          </w:tcPr>
          <w:p w:rsidR="000712F9" w:rsidRDefault="000712F9" w:rsidP="000712F9">
            <w:pPr>
              <w:spacing w:after="0" w:line="240" w:lineRule="auto"/>
              <w:jc w:val="center"/>
              <w:rPr>
                <w:rFonts w:ascii="Arial" w:hAnsi="Arial" w:cs="Arial"/>
                <w:color w:val="000000"/>
              </w:rPr>
            </w:pPr>
            <w:r>
              <w:rPr>
                <w:rFonts w:ascii="Arial" w:hAnsi="Arial" w:cs="Arial"/>
                <w:color w:val="000000"/>
              </w:rPr>
              <w:t>667</w:t>
            </w:r>
          </w:p>
        </w:tc>
      </w:tr>
      <w:tr w:rsidR="000712F9" w:rsidRPr="00AE0294" w:rsidTr="006812F7">
        <w:trPr>
          <w:trHeight w:val="330"/>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0712F9" w:rsidRPr="00AE0294" w:rsidRDefault="000712F9" w:rsidP="000712F9">
            <w:pPr>
              <w:spacing w:after="0" w:line="240" w:lineRule="auto"/>
              <w:jc w:val="center"/>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 </w:t>
            </w:r>
          </w:p>
        </w:tc>
        <w:tc>
          <w:tcPr>
            <w:tcW w:w="3551" w:type="dxa"/>
            <w:tcBorders>
              <w:top w:val="nil"/>
              <w:left w:val="nil"/>
              <w:bottom w:val="single" w:sz="4" w:space="0" w:color="auto"/>
              <w:right w:val="single" w:sz="4" w:space="0" w:color="auto"/>
            </w:tcBorders>
            <w:shd w:val="clear" w:color="auto" w:fill="auto"/>
            <w:vAlign w:val="center"/>
            <w:hideMark/>
          </w:tcPr>
          <w:p w:rsidR="000712F9" w:rsidRPr="00AE0294" w:rsidRDefault="000712F9" w:rsidP="000712F9">
            <w:pPr>
              <w:spacing w:after="0" w:line="240" w:lineRule="auto"/>
              <w:jc w:val="both"/>
              <w:rPr>
                <w:rFonts w:eastAsia="Times New Roman" w:cstheme="minorHAnsi"/>
                <w:b/>
                <w:bCs/>
                <w:color w:val="000000"/>
                <w:sz w:val="24"/>
                <w:szCs w:val="24"/>
                <w:lang w:eastAsia="en-IN"/>
              </w:rPr>
            </w:pPr>
            <w:r w:rsidRPr="00AE0294">
              <w:rPr>
                <w:rFonts w:eastAsia="Times New Roman" w:cstheme="minorHAnsi"/>
                <w:b/>
                <w:bCs/>
                <w:color w:val="000000"/>
                <w:sz w:val="24"/>
                <w:szCs w:val="24"/>
                <w:lang w:eastAsia="en-IN"/>
              </w:rPr>
              <w:t>Total</w:t>
            </w:r>
            <w:r>
              <w:rPr>
                <w:rFonts w:eastAsia="Times New Roman" w:cstheme="minorHAnsi"/>
                <w:b/>
                <w:bCs/>
                <w:color w:val="000000"/>
                <w:sz w:val="24"/>
                <w:szCs w:val="24"/>
                <w:lang w:eastAsia="en-IN"/>
              </w:rPr>
              <w:t xml:space="preserve"> Impact</w:t>
            </w:r>
          </w:p>
        </w:tc>
        <w:tc>
          <w:tcPr>
            <w:tcW w:w="1360" w:type="dxa"/>
            <w:tcBorders>
              <w:top w:val="nil"/>
              <w:left w:val="nil"/>
              <w:bottom w:val="single" w:sz="4" w:space="0" w:color="auto"/>
              <w:right w:val="single" w:sz="4" w:space="0" w:color="auto"/>
            </w:tcBorders>
            <w:shd w:val="clear" w:color="auto" w:fill="auto"/>
            <w:noWrap/>
            <w:vAlign w:val="center"/>
            <w:hideMark/>
          </w:tcPr>
          <w:p w:rsidR="000712F9" w:rsidRDefault="000712F9" w:rsidP="000712F9">
            <w:pPr>
              <w:spacing w:after="0" w:line="240" w:lineRule="auto"/>
              <w:jc w:val="center"/>
              <w:rPr>
                <w:rFonts w:ascii="Arial" w:hAnsi="Arial" w:cs="Arial"/>
                <w:b/>
                <w:bCs/>
                <w:color w:val="000000"/>
              </w:rPr>
            </w:pPr>
            <w:r>
              <w:rPr>
                <w:rFonts w:ascii="Arial" w:hAnsi="Arial" w:cs="Arial"/>
                <w:b/>
                <w:bCs/>
                <w:color w:val="000000"/>
              </w:rPr>
              <w:t>1869</w:t>
            </w:r>
          </w:p>
        </w:tc>
        <w:tc>
          <w:tcPr>
            <w:tcW w:w="1360" w:type="dxa"/>
            <w:tcBorders>
              <w:top w:val="nil"/>
              <w:left w:val="nil"/>
              <w:bottom w:val="single" w:sz="4" w:space="0" w:color="auto"/>
              <w:right w:val="single" w:sz="4" w:space="0" w:color="auto"/>
            </w:tcBorders>
            <w:shd w:val="clear" w:color="auto" w:fill="auto"/>
            <w:noWrap/>
            <w:vAlign w:val="center"/>
            <w:hideMark/>
          </w:tcPr>
          <w:p w:rsidR="000712F9" w:rsidRDefault="000712F9" w:rsidP="000712F9">
            <w:pPr>
              <w:spacing w:after="0" w:line="240" w:lineRule="auto"/>
              <w:jc w:val="center"/>
              <w:rPr>
                <w:rFonts w:ascii="Arial" w:hAnsi="Arial" w:cs="Arial"/>
                <w:b/>
                <w:bCs/>
                <w:color w:val="000000"/>
              </w:rPr>
            </w:pPr>
            <w:r>
              <w:rPr>
                <w:rFonts w:ascii="Arial" w:hAnsi="Arial" w:cs="Arial"/>
                <w:b/>
                <w:bCs/>
                <w:color w:val="000000"/>
              </w:rPr>
              <w:t>3437</w:t>
            </w:r>
          </w:p>
        </w:tc>
        <w:tc>
          <w:tcPr>
            <w:tcW w:w="1280" w:type="dxa"/>
            <w:tcBorders>
              <w:top w:val="nil"/>
              <w:left w:val="nil"/>
              <w:bottom w:val="single" w:sz="4" w:space="0" w:color="auto"/>
              <w:right w:val="single" w:sz="4" w:space="0" w:color="auto"/>
            </w:tcBorders>
            <w:shd w:val="clear" w:color="auto" w:fill="auto"/>
            <w:noWrap/>
            <w:vAlign w:val="center"/>
            <w:hideMark/>
          </w:tcPr>
          <w:p w:rsidR="000712F9" w:rsidRDefault="000712F9" w:rsidP="000712F9">
            <w:pPr>
              <w:spacing w:after="0" w:line="240" w:lineRule="auto"/>
              <w:jc w:val="center"/>
              <w:rPr>
                <w:rFonts w:ascii="Arial" w:hAnsi="Arial" w:cs="Arial"/>
                <w:b/>
                <w:bCs/>
                <w:color w:val="000000"/>
              </w:rPr>
            </w:pPr>
            <w:r>
              <w:rPr>
                <w:rFonts w:ascii="Arial" w:hAnsi="Arial" w:cs="Arial"/>
                <w:b/>
                <w:bCs/>
                <w:color w:val="000000"/>
              </w:rPr>
              <w:t>5306</w:t>
            </w:r>
          </w:p>
        </w:tc>
      </w:tr>
    </w:tbl>
    <w:p w:rsidR="00E84CB8" w:rsidRPr="00AE0294" w:rsidRDefault="00E84CB8" w:rsidP="00492532">
      <w:pPr>
        <w:pStyle w:val="TableFigureARR"/>
        <w:spacing w:after="0"/>
        <w:ind w:left="646"/>
        <w:jc w:val="left"/>
        <w:rPr>
          <w:rFonts w:cstheme="minorHAnsi"/>
          <w:i w:val="0"/>
          <w:color w:val="auto"/>
          <w:sz w:val="24"/>
          <w:szCs w:val="24"/>
        </w:rPr>
      </w:pPr>
    </w:p>
    <w:p w:rsidR="00B64DB9" w:rsidRPr="00AE0294" w:rsidRDefault="00B64DB9" w:rsidP="007D37C9">
      <w:pPr>
        <w:pStyle w:val="ARRB11"/>
        <w:numPr>
          <w:ilvl w:val="1"/>
          <w:numId w:val="2"/>
        </w:numPr>
        <w:tabs>
          <w:tab w:val="clear" w:pos="1440"/>
        </w:tabs>
        <w:ind w:left="993" w:hanging="993"/>
        <w:rPr>
          <w:szCs w:val="24"/>
        </w:rPr>
      </w:pPr>
      <w:r w:rsidRPr="00AE0294">
        <w:rPr>
          <w:szCs w:val="24"/>
        </w:rPr>
        <w:t xml:space="preserve">The Petitioner has elaborated all the above issues in detail in corresponding Appeals and thus is not reproducing the contentions/ arguments for the sake of brevity and prolixity. </w:t>
      </w:r>
    </w:p>
    <w:p w:rsidR="00F75178" w:rsidRPr="00AE0294" w:rsidRDefault="00B64DB9" w:rsidP="007D37C9">
      <w:pPr>
        <w:pStyle w:val="ARRB11"/>
        <w:numPr>
          <w:ilvl w:val="1"/>
          <w:numId w:val="2"/>
        </w:numPr>
        <w:tabs>
          <w:tab w:val="clear" w:pos="1440"/>
        </w:tabs>
        <w:ind w:left="993" w:hanging="993"/>
        <w:rPr>
          <w:szCs w:val="24"/>
        </w:rPr>
      </w:pPr>
      <w:r w:rsidRPr="00AE0294">
        <w:rPr>
          <w:szCs w:val="24"/>
        </w:rPr>
        <w:t>The Petitioner</w:t>
      </w:r>
      <w:r w:rsidR="00F1215C" w:rsidRPr="00AE0294">
        <w:rPr>
          <w:szCs w:val="24"/>
        </w:rPr>
        <w:t>, therefore</w:t>
      </w:r>
      <w:r w:rsidRPr="00AE0294">
        <w:rPr>
          <w:szCs w:val="24"/>
        </w:rPr>
        <w:t xml:space="preserve"> requests the Hon’ble Commission to allow the impact of directions/ findings/ observations of Hon’ble APTEL in case Judgment is pronounced in case of any of the appeals during the course of tariff determination exercise in subject. </w:t>
      </w:r>
    </w:p>
    <w:p w:rsidR="00474A00" w:rsidRDefault="00474A00" w:rsidP="007D37C9">
      <w:pPr>
        <w:pStyle w:val="ARRB11"/>
        <w:numPr>
          <w:ilvl w:val="1"/>
          <w:numId w:val="2"/>
        </w:numPr>
        <w:tabs>
          <w:tab w:val="clear" w:pos="1440"/>
        </w:tabs>
        <w:ind w:left="993" w:hanging="993"/>
        <w:rPr>
          <w:szCs w:val="24"/>
        </w:rPr>
      </w:pPr>
      <w:r w:rsidRPr="00AE0294">
        <w:rPr>
          <w:szCs w:val="24"/>
        </w:rPr>
        <w:lastRenderedPageBreak/>
        <w:t xml:space="preserve">The Petitioner requests the Hon’ble Commission to allow the </w:t>
      </w:r>
      <w:r w:rsidR="00013A0B">
        <w:rPr>
          <w:szCs w:val="24"/>
        </w:rPr>
        <w:t xml:space="preserve">total </w:t>
      </w:r>
      <w:r w:rsidRPr="00AE0294">
        <w:rPr>
          <w:szCs w:val="24"/>
        </w:rPr>
        <w:t>unrecognised Regulatory Assets</w:t>
      </w:r>
      <w:r w:rsidR="00840273">
        <w:rPr>
          <w:szCs w:val="24"/>
        </w:rPr>
        <w:t xml:space="preserve"> as per the claims submitted in </w:t>
      </w:r>
      <w:r w:rsidRPr="00AE0294">
        <w:rPr>
          <w:szCs w:val="24"/>
        </w:rPr>
        <w:t xml:space="preserve">Category – 1 to </w:t>
      </w:r>
      <w:r w:rsidR="007A3406" w:rsidRPr="00AE0294">
        <w:rPr>
          <w:szCs w:val="24"/>
        </w:rPr>
        <w:t>3</w:t>
      </w:r>
      <w:r w:rsidR="00840273">
        <w:rPr>
          <w:szCs w:val="24"/>
        </w:rPr>
        <w:t xml:space="preserve"> above a</w:t>
      </w:r>
      <w:r w:rsidR="0050472A">
        <w:rPr>
          <w:szCs w:val="24"/>
        </w:rPr>
        <w:t>long with carrying cost as summa</w:t>
      </w:r>
      <w:r w:rsidR="00840273">
        <w:rPr>
          <w:szCs w:val="24"/>
        </w:rPr>
        <w:t>rized below:</w:t>
      </w:r>
    </w:p>
    <w:p w:rsidR="00997627" w:rsidRPr="00AE0294" w:rsidRDefault="00997627" w:rsidP="00997627">
      <w:pPr>
        <w:pStyle w:val="TableFigureARR"/>
        <w:spacing w:after="0"/>
        <w:ind w:left="644"/>
        <w:rPr>
          <w:rFonts w:cstheme="minorHAnsi"/>
          <w:i w:val="0"/>
          <w:color w:val="auto"/>
          <w:sz w:val="24"/>
          <w:szCs w:val="24"/>
        </w:rPr>
      </w:pPr>
      <w:bookmarkStart w:id="32" w:name="_Toc120734123"/>
      <w:r w:rsidRPr="00AE0294">
        <w:rPr>
          <w:rFonts w:cstheme="minorHAnsi"/>
          <w:i w:val="0"/>
          <w:color w:val="auto"/>
          <w:sz w:val="24"/>
          <w:szCs w:val="24"/>
          <w:lang w:val="en-US"/>
        </w:rPr>
        <w:t xml:space="preserve">Table 3B </w:t>
      </w:r>
      <w:r w:rsidRPr="00AE0294">
        <w:rPr>
          <w:rFonts w:cstheme="minorHAnsi"/>
          <w:i w:val="0"/>
          <w:color w:val="auto"/>
          <w:sz w:val="24"/>
          <w:szCs w:val="24"/>
          <w:lang w:val="en-US"/>
        </w:rPr>
        <w:fldChar w:fldCharType="begin"/>
      </w:r>
      <w:r w:rsidRPr="00AE0294">
        <w:rPr>
          <w:rFonts w:cstheme="minorHAnsi"/>
          <w:i w:val="0"/>
          <w:color w:val="auto"/>
          <w:sz w:val="24"/>
          <w:szCs w:val="24"/>
          <w:lang w:val="en-US"/>
        </w:rPr>
        <w:instrText xml:space="preserve"> SEQ Table_3B \* ARABIC </w:instrText>
      </w:r>
      <w:r w:rsidRPr="00AE0294">
        <w:rPr>
          <w:rFonts w:cstheme="minorHAnsi"/>
          <w:i w:val="0"/>
          <w:color w:val="auto"/>
          <w:sz w:val="24"/>
          <w:szCs w:val="24"/>
          <w:lang w:val="en-US"/>
        </w:rPr>
        <w:fldChar w:fldCharType="separate"/>
      </w:r>
      <w:r w:rsidR="006D2E03">
        <w:rPr>
          <w:rFonts w:cstheme="minorHAnsi"/>
          <w:i w:val="0"/>
          <w:noProof/>
          <w:color w:val="auto"/>
          <w:sz w:val="24"/>
          <w:szCs w:val="24"/>
          <w:lang w:val="en-US"/>
        </w:rPr>
        <w:t>15</w:t>
      </w:r>
      <w:r w:rsidRPr="00AE0294">
        <w:rPr>
          <w:rFonts w:cstheme="minorHAnsi"/>
          <w:i w:val="0"/>
          <w:color w:val="auto"/>
          <w:sz w:val="24"/>
          <w:szCs w:val="24"/>
        </w:rPr>
        <w:fldChar w:fldCharType="end"/>
      </w:r>
      <w:r w:rsidRPr="00AE0294">
        <w:rPr>
          <w:rFonts w:cstheme="minorHAnsi"/>
          <w:i w:val="0"/>
          <w:color w:val="auto"/>
          <w:sz w:val="24"/>
          <w:szCs w:val="24"/>
        </w:rPr>
        <w:t xml:space="preserve">: </w:t>
      </w:r>
      <w:r>
        <w:rPr>
          <w:rFonts w:cstheme="minorHAnsi"/>
          <w:i w:val="0"/>
          <w:color w:val="auto"/>
          <w:sz w:val="24"/>
          <w:szCs w:val="24"/>
        </w:rPr>
        <w:t>T</w:t>
      </w:r>
      <w:r w:rsidR="00013A0B">
        <w:rPr>
          <w:rFonts w:cstheme="minorHAnsi"/>
          <w:i w:val="0"/>
          <w:color w:val="auto"/>
          <w:sz w:val="24"/>
          <w:szCs w:val="24"/>
        </w:rPr>
        <w:t>otal unrecognised Regulatory A</w:t>
      </w:r>
      <w:r>
        <w:rPr>
          <w:rFonts w:cstheme="minorHAnsi"/>
          <w:i w:val="0"/>
          <w:color w:val="auto"/>
          <w:sz w:val="24"/>
          <w:szCs w:val="24"/>
        </w:rPr>
        <w:t>ssets including carrying cost upto FY 2021-22(₹ Crore</w:t>
      </w:r>
      <w:r w:rsidRPr="00AE0294">
        <w:rPr>
          <w:rFonts w:cstheme="minorHAnsi"/>
          <w:i w:val="0"/>
          <w:color w:val="auto"/>
          <w:sz w:val="24"/>
          <w:szCs w:val="24"/>
        </w:rPr>
        <w:t>)</w:t>
      </w:r>
      <w:bookmarkEnd w:id="32"/>
    </w:p>
    <w:tbl>
      <w:tblPr>
        <w:tblW w:w="7961" w:type="dxa"/>
        <w:tblInd w:w="846" w:type="dxa"/>
        <w:tblLook w:val="04A0" w:firstRow="1" w:lastRow="0" w:firstColumn="1" w:lastColumn="0" w:noHBand="0" w:noVBand="1"/>
      </w:tblPr>
      <w:tblGrid>
        <w:gridCol w:w="960"/>
        <w:gridCol w:w="3860"/>
        <w:gridCol w:w="1133"/>
        <w:gridCol w:w="1048"/>
        <w:gridCol w:w="960"/>
      </w:tblGrid>
      <w:tr w:rsidR="00262069" w:rsidRPr="00262069" w:rsidTr="00013A0B">
        <w:trPr>
          <w:trHeight w:val="33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2069" w:rsidRPr="00262069" w:rsidRDefault="00262069" w:rsidP="00262069">
            <w:pPr>
              <w:spacing w:after="0" w:line="240" w:lineRule="auto"/>
              <w:jc w:val="center"/>
              <w:rPr>
                <w:rFonts w:eastAsia="Times New Roman" w:cstheme="minorHAnsi"/>
                <w:b/>
                <w:bCs/>
                <w:color w:val="000000"/>
                <w:sz w:val="24"/>
                <w:szCs w:val="24"/>
                <w:lang w:eastAsia="en-IN"/>
              </w:rPr>
            </w:pPr>
            <w:r w:rsidRPr="00262069">
              <w:rPr>
                <w:rFonts w:eastAsia="Times New Roman" w:cstheme="minorHAnsi"/>
                <w:b/>
                <w:bCs/>
                <w:color w:val="000000"/>
                <w:sz w:val="24"/>
                <w:szCs w:val="24"/>
                <w:lang w:eastAsia="en-IN"/>
              </w:rPr>
              <w:t>S. No.</w:t>
            </w:r>
          </w:p>
        </w:tc>
        <w:tc>
          <w:tcPr>
            <w:tcW w:w="3860" w:type="dxa"/>
            <w:tcBorders>
              <w:top w:val="single" w:sz="4" w:space="0" w:color="auto"/>
              <w:left w:val="nil"/>
              <w:bottom w:val="single" w:sz="4" w:space="0" w:color="auto"/>
              <w:right w:val="single" w:sz="4" w:space="0" w:color="auto"/>
            </w:tcBorders>
            <w:shd w:val="clear" w:color="auto" w:fill="auto"/>
            <w:vAlign w:val="center"/>
            <w:hideMark/>
          </w:tcPr>
          <w:p w:rsidR="00262069" w:rsidRPr="00262069" w:rsidRDefault="00262069" w:rsidP="00262069">
            <w:pPr>
              <w:spacing w:after="0" w:line="240" w:lineRule="auto"/>
              <w:jc w:val="center"/>
              <w:rPr>
                <w:rFonts w:eastAsia="Times New Roman" w:cstheme="minorHAnsi"/>
                <w:b/>
                <w:bCs/>
                <w:color w:val="000000"/>
                <w:sz w:val="24"/>
                <w:szCs w:val="24"/>
                <w:lang w:eastAsia="en-IN"/>
              </w:rPr>
            </w:pPr>
            <w:r w:rsidRPr="00262069">
              <w:rPr>
                <w:rFonts w:eastAsia="Times New Roman" w:cstheme="minorHAnsi"/>
                <w:b/>
                <w:bCs/>
                <w:color w:val="000000"/>
                <w:sz w:val="24"/>
                <w:szCs w:val="24"/>
                <w:lang w:eastAsia="en-IN"/>
              </w:rPr>
              <w:t>Particulars</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262069" w:rsidRPr="00262069" w:rsidRDefault="00262069" w:rsidP="00262069">
            <w:pPr>
              <w:spacing w:after="0" w:line="240" w:lineRule="auto"/>
              <w:jc w:val="center"/>
              <w:rPr>
                <w:rFonts w:eastAsia="Times New Roman" w:cstheme="minorHAnsi"/>
                <w:b/>
                <w:bCs/>
                <w:color w:val="000000"/>
                <w:sz w:val="24"/>
                <w:szCs w:val="24"/>
                <w:lang w:eastAsia="en-IN"/>
              </w:rPr>
            </w:pPr>
            <w:r w:rsidRPr="00262069">
              <w:rPr>
                <w:rFonts w:eastAsia="Times New Roman" w:cstheme="minorHAnsi"/>
                <w:b/>
                <w:bCs/>
                <w:color w:val="000000"/>
                <w:sz w:val="24"/>
                <w:szCs w:val="24"/>
                <w:lang w:eastAsia="en-IN"/>
              </w:rPr>
              <w:t>Principle</w:t>
            </w:r>
          </w:p>
        </w:tc>
        <w:tc>
          <w:tcPr>
            <w:tcW w:w="1048" w:type="dxa"/>
            <w:tcBorders>
              <w:top w:val="single" w:sz="4" w:space="0" w:color="auto"/>
              <w:left w:val="nil"/>
              <w:bottom w:val="single" w:sz="4" w:space="0" w:color="auto"/>
              <w:right w:val="single" w:sz="4" w:space="0" w:color="auto"/>
            </w:tcBorders>
            <w:shd w:val="clear" w:color="auto" w:fill="auto"/>
            <w:noWrap/>
            <w:vAlign w:val="center"/>
            <w:hideMark/>
          </w:tcPr>
          <w:p w:rsidR="00262069" w:rsidRPr="00262069" w:rsidRDefault="00262069" w:rsidP="00262069">
            <w:pPr>
              <w:spacing w:after="0" w:line="240" w:lineRule="auto"/>
              <w:jc w:val="center"/>
              <w:rPr>
                <w:rFonts w:eastAsia="Times New Roman" w:cstheme="minorHAnsi"/>
                <w:b/>
                <w:bCs/>
                <w:color w:val="000000"/>
                <w:sz w:val="24"/>
                <w:szCs w:val="24"/>
                <w:lang w:eastAsia="en-IN"/>
              </w:rPr>
            </w:pPr>
            <w:r w:rsidRPr="00262069">
              <w:rPr>
                <w:rFonts w:eastAsia="Times New Roman" w:cstheme="minorHAnsi"/>
                <w:b/>
                <w:bCs/>
                <w:color w:val="000000"/>
                <w:sz w:val="24"/>
                <w:szCs w:val="24"/>
                <w:lang w:eastAsia="en-IN"/>
              </w:rPr>
              <w:t>Carrying Cost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262069" w:rsidRPr="00262069" w:rsidRDefault="00262069" w:rsidP="00262069">
            <w:pPr>
              <w:spacing w:after="0" w:line="240" w:lineRule="auto"/>
              <w:jc w:val="center"/>
              <w:rPr>
                <w:rFonts w:eastAsia="Times New Roman" w:cstheme="minorHAnsi"/>
                <w:b/>
                <w:bCs/>
                <w:color w:val="000000"/>
                <w:sz w:val="24"/>
                <w:szCs w:val="24"/>
                <w:lang w:eastAsia="en-IN"/>
              </w:rPr>
            </w:pPr>
            <w:r w:rsidRPr="00262069">
              <w:rPr>
                <w:rFonts w:eastAsia="Times New Roman" w:cstheme="minorHAnsi"/>
                <w:b/>
                <w:bCs/>
                <w:color w:val="000000"/>
                <w:sz w:val="24"/>
                <w:szCs w:val="24"/>
                <w:lang w:eastAsia="en-IN"/>
              </w:rPr>
              <w:t>Total</w:t>
            </w:r>
          </w:p>
        </w:tc>
      </w:tr>
      <w:tr w:rsidR="00013A0B" w:rsidRPr="00262069" w:rsidTr="00013A0B">
        <w:trPr>
          <w:trHeight w:val="33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13A0B" w:rsidRPr="00262069" w:rsidRDefault="00013A0B" w:rsidP="00262069">
            <w:pPr>
              <w:spacing w:after="0" w:line="240" w:lineRule="auto"/>
              <w:jc w:val="center"/>
              <w:rPr>
                <w:rFonts w:eastAsia="Times New Roman" w:cstheme="minorHAnsi"/>
                <w:b/>
                <w:bCs/>
                <w:color w:val="000000"/>
                <w:sz w:val="24"/>
                <w:szCs w:val="24"/>
                <w:lang w:eastAsia="en-IN"/>
              </w:rPr>
            </w:pPr>
            <w:r>
              <w:rPr>
                <w:rFonts w:eastAsia="Times New Roman" w:cstheme="minorHAnsi"/>
                <w:b/>
                <w:bCs/>
                <w:color w:val="000000"/>
                <w:sz w:val="24"/>
                <w:szCs w:val="24"/>
                <w:lang w:eastAsia="en-IN"/>
              </w:rPr>
              <w:t>1</w:t>
            </w:r>
          </w:p>
        </w:tc>
        <w:tc>
          <w:tcPr>
            <w:tcW w:w="3860" w:type="dxa"/>
            <w:tcBorders>
              <w:top w:val="single" w:sz="4" w:space="0" w:color="auto"/>
              <w:left w:val="nil"/>
              <w:bottom w:val="single" w:sz="4" w:space="0" w:color="auto"/>
              <w:right w:val="single" w:sz="4" w:space="0" w:color="auto"/>
            </w:tcBorders>
            <w:shd w:val="clear" w:color="auto" w:fill="auto"/>
            <w:vAlign w:val="center"/>
          </w:tcPr>
          <w:p w:rsidR="00013A0B" w:rsidRPr="00262069" w:rsidRDefault="00013A0B" w:rsidP="00013A0B">
            <w:pPr>
              <w:spacing w:after="0" w:line="240" w:lineRule="auto"/>
              <w:rPr>
                <w:rFonts w:eastAsia="Times New Roman" w:cstheme="minorHAnsi"/>
                <w:b/>
                <w:bCs/>
                <w:color w:val="000000"/>
                <w:sz w:val="24"/>
                <w:szCs w:val="24"/>
                <w:lang w:eastAsia="en-IN"/>
              </w:rPr>
            </w:pPr>
            <w:r w:rsidRPr="00AE0294">
              <w:rPr>
                <w:rFonts w:cstheme="minorHAnsi"/>
                <w:b/>
                <w:color w:val="000000" w:themeColor="text1"/>
              </w:rPr>
              <w:t>Implementation of Hon’ble Supreme Court (SC) judgments</w:t>
            </w: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013A0B" w:rsidRPr="00262069" w:rsidRDefault="00013A0B" w:rsidP="00262069">
            <w:pPr>
              <w:spacing w:after="0" w:line="240" w:lineRule="auto"/>
              <w:jc w:val="center"/>
              <w:rPr>
                <w:rFonts w:eastAsia="Times New Roman" w:cstheme="minorHAnsi"/>
                <w:b/>
                <w:bCs/>
                <w:color w:val="000000"/>
                <w:sz w:val="24"/>
                <w:szCs w:val="24"/>
                <w:lang w:eastAsia="en-IN"/>
              </w:rPr>
            </w:pPr>
          </w:p>
        </w:tc>
        <w:tc>
          <w:tcPr>
            <w:tcW w:w="1048" w:type="dxa"/>
            <w:tcBorders>
              <w:top w:val="single" w:sz="4" w:space="0" w:color="auto"/>
              <w:left w:val="nil"/>
              <w:bottom w:val="single" w:sz="4" w:space="0" w:color="auto"/>
              <w:right w:val="single" w:sz="4" w:space="0" w:color="auto"/>
            </w:tcBorders>
            <w:shd w:val="clear" w:color="auto" w:fill="auto"/>
            <w:noWrap/>
            <w:vAlign w:val="center"/>
          </w:tcPr>
          <w:p w:rsidR="00013A0B" w:rsidRPr="00262069" w:rsidRDefault="00013A0B" w:rsidP="00262069">
            <w:pPr>
              <w:spacing w:after="0" w:line="240" w:lineRule="auto"/>
              <w:jc w:val="center"/>
              <w:rPr>
                <w:rFonts w:eastAsia="Times New Roman" w:cstheme="minorHAnsi"/>
                <w:b/>
                <w:bCs/>
                <w:color w:val="000000"/>
                <w:sz w:val="24"/>
                <w:szCs w:val="24"/>
                <w:lang w:eastAsia="en-IN"/>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013A0B" w:rsidRPr="00262069" w:rsidRDefault="00013A0B" w:rsidP="00262069">
            <w:pPr>
              <w:spacing w:after="0" w:line="240" w:lineRule="auto"/>
              <w:jc w:val="center"/>
              <w:rPr>
                <w:rFonts w:eastAsia="Times New Roman" w:cstheme="minorHAnsi"/>
                <w:b/>
                <w:bCs/>
                <w:color w:val="000000"/>
                <w:sz w:val="24"/>
                <w:szCs w:val="24"/>
                <w:lang w:eastAsia="en-IN"/>
              </w:rPr>
            </w:pPr>
          </w:p>
        </w:tc>
      </w:tr>
      <w:tr w:rsidR="00262069" w:rsidRPr="00262069" w:rsidTr="00013A0B">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62069" w:rsidRPr="00262069" w:rsidRDefault="00013A0B" w:rsidP="00262069">
            <w:pPr>
              <w:spacing w:after="0" w:line="240" w:lineRule="auto"/>
              <w:jc w:val="center"/>
              <w:rPr>
                <w:rFonts w:eastAsia="Times New Roman" w:cstheme="minorHAnsi"/>
                <w:bCs/>
                <w:color w:val="000000"/>
                <w:sz w:val="24"/>
                <w:szCs w:val="24"/>
                <w:lang w:eastAsia="en-IN"/>
              </w:rPr>
            </w:pPr>
            <w:r w:rsidRPr="00A64146">
              <w:rPr>
                <w:rFonts w:eastAsia="Times New Roman" w:cstheme="minorHAnsi"/>
                <w:bCs/>
                <w:color w:val="000000"/>
                <w:sz w:val="24"/>
                <w:szCs w:val="24"/>
                <w:lang w:eastAsia="en-IN"/>
              </w:rPr>
              <w:t>1</w:t>
            </w:r>
            <w:r w:rsidR="00262069" w:rsidRPr="00262069">
              <w:rPr>
                <w:rFonts w:eastAsia="Times New Roman" w:cstheme="minorHAnsi"/>
                <w:bCs/>
                <w:color w:val="000000"/>
                <w:sz w:val="24"/>
                <w:szCs w:val="24"/>
                <w:lang w:eastAsia="en-IN"/>
              </w:rPr>
              <w:t>A</w:t>
            </w:r>
          </w:p>
        </w:tc>
        <w:tc>
          <w:tcPr>
            <w:tcW w:w="3860" w:type="dxa"/>
            <w:tcBorders>
              <w:top w:val="nil"/>
              <w:left w:val="nil"/>
              <w:bottom w:val="single" w:sz="4" w:space="0" w:color="auto"/>
              <w:right w:val="single" w:sz="4" w:space="0" w:color="auto"/>
            </w:tcBorders>
            <w:shd w:val="clear" w:color="auto" w:fill="auto"/>
            <w:noWrap/>
            <w:vAlign w:val="bottom"/>
            <w:hideMark/>
          </w:tcPr>
          <w:p w:rsidR="00262069" w:rsidRPr="00262069" w:rsidRDefault="00013A0B" w:rsidP="00262069">
            <w:pPr>
              <w:spacing w:after="0" w:line="240" w:lineRule="auto"/>
              <w:rPr>
                <w:rFonts w:eastAsia="Times New Roman" w:cstheme="minorHAnsi"/>
                <w:bCs/>
                <w:color w:val="000000"/>
                <w:sz w:val="24"/>
                <w:szCs w:val="24"/>
                <w:lang w:eastAsia="en-IN"/>
              </w:rPr>
            </w:pPr>
            <w:r w:rsidRPr="00A64146">
              <w:rPr>
                <w:rFonts w:cstheme="minorHAnsi"/>
                <w:color w:val="000000" w:themeColor="text1"/>
              </w:rPr>
              <w:t>Impact of APTEL Judgements which have attained finality vide Hon’ble SC Order dated 01.12.2021</w:t>
            </w:r>
          </w:p>
        </w:tc>
        <w:tc>
          <w:tcPr>
            <w:tcW w:w="1133" w:type="dxa"/>
            <w:tcBorders>
              <w:top w:val="nil"/>
              <w:left w:val="nil"/>
              <w:bottom w:val="single" w:sz="4" w:space="0" w:color="auto"/>
              <w:right w:val="single" w:sz="4" w:space="0" w:color="auto"/>
            </w:tcBorders>
            <w:shd w:val="clear" w:color="auto" w:fill="auto"/>
            <w:noWrap/>
            <w:vAlign w:val="center"/>
            <w:hideMark/>
          </w:tcPr>
          <w:p w:rsidR="00262069" w:rsidRPr="00262069" w:rsidRDefault="00262069" w:rsidP="00262069">
            <w:pPr>
              <w:spacing w:after="0" w:line="240" w:lineRule="auto"/>
              <w:jc w:val="center"/>
              <w:rPr>
                <w:rFonts w:eastAsia="Times New Roman" w:cstheme="minorHAnsi"/>
                <w:b/>
                <w:bCs/>
                <w:color w:val="000000"/>
                <w:sz w:val="24"/>
                <w:szCs w:val="24"/>
                <w:lang w:eastAsia="en-IN"/>
              </w:rPr>
            </w:pPr>
          </w:p>
        </w:tc>
        <w:tc>
          <w:tcPr>
            <w:tcW w:w="1048" w:type="dxa"/>
            <w:tcBorders>
              <w:top w:val="nil"/>
              <w:left w:val="nil"/>
              <w:bottom w:val="single" w:sz="4" w:space="0" w:color="auto"/>
              <w:right w:val="single" w:sz="4" w:space="0" w:color="auto"/>
            </w:tcBorders>
            <w:shd w:val="clear" w:color="auto" w:fill="auto"/>
            <w:noWrap/>
            <w:vAlign w:val="center"/>
            <w:hideMark/>
          </w:tcPr>
          <w:p w:rsidR="00262069" w:rsidRPr="00262069" w:rsidRDefault="00262069" w:rsidP="00262069">
            <w:pPr>
              <w:spacing w:after="0" w:line="240" w:lineRule="auto"/>
              <w:jc w:val="center"/>
              <w:rPr>
                <w:rFonts w:eastAsia="Times New Roman" w:cstheme="minorHAnsi"/>
                <w:b/>
                <w:bCs/>
                <w:color w:val="000000"/>
                <w:sz w:val="24"/>
                <w:szCs w:val="24"/>
                <w:lang w:eastAsia="en-IN"/>
              </w:rPr>
            </w:pPr>
          </w:p>
        </w:tc>
        <w:tc>
          <w:tcPr>
            <w:tcW w:w="960" w:type="dxa"/>
            <w:tcBorders>
              <w:top w:val="nil"/>
              <w:left w:val="nil"/>
              <w:bottom w:val="single" w:sz="4" w:space="0" w:color="auto"/>
              <w:right w:val="single" w:sz="4" w:space="0" w:color="auto"/>
            </w:tcBorders>
            <w:shd w:val="clear" w:color="auto" w:fill="auto"/>
            <w:noWrap/>
            <w:vAlign w:val="center"/>
            <w:hideMark/>
          </w:tcPr>
          <w:p w:rsidR="00262069" w:rsidRPr="00262069" w:rsidRDefault="00262069" w:rsidP="00262069">
            <w:pPr>
              <w:spacing w:after="0" w:line="240" w:lineRule="auto"/>
              <w:jc w:val="center"/>
              <w:rPr>
                <w:rFonts w:eastAsia="Times New Roman" w:cstheme="minorHAnsi"/>
                <w:b/>
                <w:bCs/>
                <w:color w:val="000000"/>
                <w:sz w:val="24"/>
                <w:szCs w:val="24"/>
                <w:lang w:eastAsia="en-IN"/>
              </w:rPr>
            </w:pPr>
          </w:p>
        </w:tc>
      </w:tr>
      <w:tr w:rsidR="00013A0B" w:rsidRPr="00262069" w:rsidTr="00013A0B">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13A0B" w:rsidRPr="00262069" w:rsidRDefault="00013A0B" w:rsidP="00013A0B">
            <w:pPr>
              <w:spacing w:after="0" w:line="240" w:lineRule="auto"/>
              <w:jc w:val="center"/>
              <w:rPr>
                <w:rFonts w:eastAsia="Times New Roman" w:cstheme="minorHAnsi"/>
                <w:i/>
                <w:color w:val="000000"/>
                <w:sz w:val="24"/>
                <w:szCs w:val="24"/>
                <w:lang w:eastAsia="en-IN"/>
              </w:rPr>
            </w:pPr>
            <w:r w:rsidRPr="00262069">
              <w:rPr>
                <w:rFonts w:eastAsia="Times New Roman" w:cstheme="minorHAnsi"/>
                <w:i/>
                <w:color w:val="000000"/>
                <w:sz w:val="24"/>
                <w:szCs w:val="24"/>
                <w:lang w:eastAsia="en-IN"/>
              </w:rPr>
              <w:t>i</w:t>
            </w:r>
          </w:p>
        </w:tc>
        <w:tc>
          <w:tcPr>
            <w:tcW w:w="3860" w:type="dxa"/>
            <w:tcBorders>
              <w:top w:val="nil"/>
              <w:left w:val="nil"/>
              <w:bottom w:val="single" w:sz="4" w:space="0" w:color="auto"/>
              <w:right w:val="single" w:sz="4" w:space="0" w:color="auto"/>
            </w:tcBorders>
            <w:shd w:val="clear" w:color="auto" w:fill="auto"/>
            <w:noWrap/>
            <w:vAlign w:val="bottom"/>
            <w:hideMark/>
          </w:tcPr>
          <w:p w:rsidR="00013A0B" w:rsidRPr="00A64146" w:rsidRDefault="00013A0B" w:rsidP="00013A0B">
            <w:pPr>
              <w:spacing w:after="0" w:line="240" w:lineRule="auto"/>
              <w:rPr>
                <w:rFonts w:eastAsia="Times New Roman" w:cstheme="minorHAnsi"/>
                <w:bCs/>
                <w:i/>
                <w:color w:val="000000"/>
                <w:sz w:val="24"/>
                <w:szCs w:val="24"/>
                <w:lang w:eastAsia="en-IN"/>
              </w:rPr>
            </w:pPr>
            <w:r w:rsidRPr="00A64146">
              <w:rPr>
                <w:rFonts w:cstheme="minorHAnsi"/>
                <w:i/>
                <w:color w:val="000000" w:themeColor="text1"/>
              </w:rPr>
              <w:t>Impact of issues decided in Civil Appeal No. 884-980 of 2010</w:t>
            </w:r>
          </w:p>
        </w:tc>
        <w:tc>
          <w:tcPr>
            <w:tcW w:w="1133" w:type="dxa"/>
            <w:tcBorders>
              <w:top w:val="nil"/>
              <w:left w:val="nil"/>
              <w:bottom w:val="single" w:sz="4" w:space="0" w:color="auto"/>
              <w:right w:val="single" w:sz="4" w:space="0" w:color="auto"/>
            </w:tcBorders>
            <w:shd w:val="clear" w:color="auto" w:fill="auto"/>
            <w:noWrap/>
            <w:vAlign w:val="center"/>
            <w:hideMark/>
          </w:tcPr>
          <w:p w:rsidR="00013A0B" w:rsidRPr="00262069" w:rsidRDefault="00013A0B" w:rsidP="00013A0B">
            <w:pPr>
              <w:spacing w:after="0" w:line="240" w:lineRule="auto"/>
              <w:jc w:val="center"/>
              <w:rPr>
                <w:rFonts w:eastAsia="Times New Roman" w:cstheme="minorHAnsi"/>
                <w:i/>
                <w:color w:val="000000"/>
                <w:sz w:val="24"/>
                <w:szCs w:val="24"/>
                <w:lang w:eastAsia="en-IN"/>
              </w:rPr>
            </w:pPr>
            <w:r w:rsidRPr="00262069">
              <w:rPr>
                <w:rFonts w:eastAsia="Times New Roman" w:cstheme="minorHAnsi"/>
                <w:i/>
                <w:color w:val="000000"/>
                <w:sz w:val="24"/>
                <w:szCs w:val="24"/>
                <w:lang w:eastAsia="en-IN"/>
              </w:rPr>
              <w:t>936</w:t>
            </w:r>
          </w:p>
        </w:tc>
        <w:tc>
          <w:tcPr>
            <w:tcW w:w="1048" w:type="dxa"/>
            <w:tcBorders>
              <w:top w:val="nil"/>
              <w:left w:val="nil"/>
              <w:bottom w:val="single" w:sz="4" w:space="0" w:color="auto"/>
              <w:right w:val="single" w:sz="4" w:space="0" w:color="auto"/>
            </w:tcBorders>
            <w:shd w:val="clear" w:color="auto" w:fill="auto"/>
            <w:noWrap/>
            <w:vAlign w:val="center"/>
            <w:hideMark/>
          </w:tcPr>
          <w:p w:rsidR="00013A0B" w:rsidRPr="00262069" w:rsidRDefault="00013A0B" w:rsidP="00013A0B">
            <w:pPr>
              <w:spacing w:after="0" w:line="240" w:lineRule="auto"/>
              <w:jc w:val="center"/>
              <w:rPr>
                <w:rFonts w:eastAsia="Times New Roman" w:cstheme="minorHAnsi"/>
                <w:i/>
                <w:color w:val="000000"/>
                <w:sz w:val="24"/>
                <w:szCs w:val="24"/>
                <w:lang w:eastAsia="en-IN"/>
              </w:rPr>
            </w:pPr>
            <w:r w:rsidRPr="00262069">
              <w:rPr>
                <w:rFonts w:eastAsia="Times New Roman" w:cstheme="minorHAnsi"/>
                <w:i/>
                <w:color w:val="000000"/>
                <w:sz w:val="24"/>
                <w:szCs w:val="24"/>
                <w:lang w:eastAsia="en-IN"/>
              </w:rPr>
              <w:t>4049</w:t>
            </w:r>
          </w:p>
        </w:tc>
        <w:tc>
          <w:tcPr>
            <w:tcW w:w="960" w:type="dxa"/>
            <w:tcBorders>
              <w:top w:val="nil"/>
              <w:left w:val="nil"/>
              <w:bottom w:val="single" w:sz="4" w:space="0" w:color="auto"/>
              <w:right w:val="single" w:sz="4" w:space="0" w:color="auto"/>
            </w:tcBorders>
            <w:shd w:val="clear" w:color="auto" w:fill="auto"/>
            <w:noWrap/>
            <w:vAlign w:val="center"/>
            <w:hideMark/>
          </w:tcPr>
          <w:p w:rsidR="00013A0B" w:rsidRPr="00262069" w:rsidRDefault="00013A0B" w:rsidP="00013A0B">
            <w:pPr>
              <w:spacing w:after="0" w:line="240" w:lineRule="auto"/>
              <w:jc w:val="center"/>
              <w:rPr>
                <w:rFonts w:eastAsia="Times New Roman" w:cstheme="minorHAnsi"/>
                <w:i/>
                <w:color w:val="000000"/>
                <w:sz w:val="24"/>
                <w:szCs w:val="24"/>
                <w:lang w:eastAsia="en-IN"/>
              </w:rPr>
            </w:pPr>
            <w:r w:rsidRPr="00262069">
              <w:rPr>
                <w:rFonts w:eastAsia="Times New Roman" w:cstheme="minorHAnsi"/>
                <w:i/>
                <w:color w:val="000000"/>
                <w:sz w:val="24"/>
                <w:szCs w:val="24"/>
                <w:lang w:eastAsia="en-IN"/>
              </w:rPr>
              <w:t>4985</w:t>
            </w:r>
          </w:p>
        </w:tc>
      </w:tr>
      <w:tr w:rsidR="00013A0B" w:rsidRPr="00262069" w:rsidTr="00013A0B">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13A0B" w:rsidRPr="00262069" w:rsidRDefault="00013A0B" w:rsidP="00013A0B">
            <w:pPr>
              <w:spacing w:after="0" w:line="240" w:lineRule="auto"/>
              <w:jc w:val="center"/>
              <w:rPr>
                <w:rFonts w:eastAsia="Times New Roman" w:cstheme="minorHAnsi"/>
                <w:i/>
                <w:color w:val="000000"/>
                <w:sz w:val="24"/>
                <w:szCs w:val="24"/>
                <w:lang w:eastAsia="en-IN"/>
              </w:rPr>
            </w:pPr>
            <w:r w:rsidRPr="00262069">
              <w:rPr>
                <w:rFonts w:eastAsia="Times New Roman" w:cstheme="minorHAnsi"/>
                <w:i/>
                <w:color w:val="000000"/>
                <w:sz w:val="24"/>
                <w:szCs w:val="24"/>
                <w:lang w:eastAsia="en-IN"/>
              </w:rPr>
              <w:t>ii</w:t>
            </w:r>
          </w:p>
        </w:tc>
        <w:tc>
          <w:tcPr>
            <w:tcW w:w="3860" w:type="dxa"/>
            <w:tcBorders>
              <w:top w:val="nil"/>
              <w:left w:val="nil"/>
              <w:bottom w:val="single" w:sz="4" w:space="0" w:color="auto"/>
              <w:right w:val="single" w:sz="4" w:space="0" w:color="auto"/>
            </w:tcBorders>
            <w:shd w:val="clear" w:color="auto" w:fill="auto"/>
            <w:noWrap/>
            <w:vAlign w:val="bottom"/>
            <w:hideMark/>
          </w:tcPr>
          <w:p w:rsidR="00013A0B" w:rsidRPr="00262069" w:rsidRDefault="00013A0B" w:rsidP="00013A0B">
            <w:pPr>
              <w:spacing w:after="0" w:line="240" w:lineRule="auto"/>
              <w:rPr>
                <w:rFonts w:eastAsia="Times New Roman" w:cstheme="minorHAnsi"/>
                <w:i/>
                <w:color w:val="000000"/>
                <w:sz w:val="24"/>
                <w:szCs w:val="24"/>
                <w:lang w:eastAsia="en-IN"/>
              </w:rPr>
            </w:pPr>
            <w:r w:rsidRPr="00A64146">
              <w:rPr>
                <w:rFonts w:cstheme="minorHAnsi"/>
                <w:i/>
                <w:color w:val="000000" w:themeColor="text1"/>
              </w:rPr>
              <w:t>Impact of issues decided in Civil Appeal No. 9003-9004 of 2011</w:t>
            </w:r>
          </w:p>
        </w:tc>
        <w:tc>
          <w:tcPr>
            <w:tcW w:w="1133" w:type="dxa"/>
            <w:tcBorders>
              <w:top w:val="nil"/>
              <w:left w:val="nil"/>
              <w:bottom w:val="single" w:sz="4" w:space="0" w:color="auto"/>
              <w:right w:val="single" w:sz="4" w:space="0" w:color="auto"/>
            </w:tcBorders>
            <w:shd w:val="clear" w:color="auto" w:fill="auto"/>
            <w:noWrap/>
            <w:vAlign w:val="center"/>
            <w:hideMark/>
          </w:tcPr>
          <w:p w:rsidR="00013A0B" w:rsidRPr="00262069" w:rsidRDefault="00013A0B" w:rsidP="00013A0B">
            <w:pPr>
              <w:spacing w:after="0" w:line="240" w:lineRule="auto"/>
              <w:jc w:val="center"/>
              <w:rPr>
                <w:rFonts w:eastAsia="Times New Roman" w:cstheme="minorHAnsi"/>
                <w:i/>
                <w:color w:val="000000"/>
                <w:sz w:val="24"/>
                <w:szCs w:val="24"/>
                <w:lang w:eastAsia="en-IN"/>
              </w:rPr>
            </w:pPr>
            <w:r w:rsidRPr="00262069">
              <w:rPr>
                <w:rFonts w:eastAsia="Times New Roman" w:cstheme="minorHAnsi"/>
                <w:i/>
                <w:color w:val="000000"/>
                <w:sz w:val="24"/>
                <w:szCs w:val="24"/>
                <w:lang w:eastAsia="en-IN"/>
              </w:rPr>
              <w:t>2208</w:t>
            </w:r>
          </w:p>
        </w:tc>
        <w:tc>
          <w:tcPr>
            <w:tcW w:w="1048" w:type="dxa"/>
            <w:tcBorders>
              <w:top w:val="nil"/>
              <w:left w:val="nil"/>
              <w:bottom w:val="single" w:sz="4" w:space="0" w:color="auto"/>
              <w:right w:val="single" w:sz="4" w:space="0" w:color="auto"/>
            </w:tcBorders>
            <w:shd w:val="clear" w:color="auto" w:fill="auto"/>
            <w:noWrap/>
            <w:vAlign w:val="center"/>
            <w:hideMark/>
          </w:tcPr>
          <w:p w:rsidR="00013A0B" w:rsidRPr="00262069" w:rsidRDefault="00013A0B" w:rsidP="00013A0B">
            <w:pPr>
              <w:spacing w:after="0" w:line="240" w:lineRule="auto"/>
              <w:jc w:val="center"/>
              <w:rPr>
                <w:rFonts w:eastAsia="Times New Roman" w:cstheme="minorHAnsi"/>
                <w:i/>
                <w:color w:val="000000"/>
                <w:sz w:val="24"/>
                <w:szCs w:val="24"/>
                <w:lang w:eastAsia="en-IN"/>
              </w:rPr>
            </w:pPr>
            <w:r w:rsidRPr="00262069">
              <w:rPr>
                <w:rFonts w:eastAsia="Times New Roman" w:cstheme="minorHAnsi"/>
                <w:i/>
                <w:color w:val="000000"/>
                <w:sz w:val="24"/>
                <w:szCs w:val="24"/>
                <w:lang w:eastAsia="en-IN"/>
              </w:rPr>
              <w:t>1188</w:t>
            </w:r>
          </w:p>
        </w:tc>
        <w:tc>
          <w:tcPr>
            <w:tcW w:w="960" w:type="dxa"/>
            <w:tcBorders>
              <w:top w:val="nil"/>
              <w:left w:val="nil"/>
              <w:bottom w:val="single" w:sz="4" w:space="0" w:color="auto"/>
              <w:right w:val="single" w:sz="4" w:space="0" w:color="auto"/>
            </w:tcBorders>
            <w:shd w:val="clear" w:color="auto" w:fill="auto"/>
            <w:noWrap/>
            <w:vAlign w:val="center"/>
            <w:hideMark/>
          </w:tcPr>
          <w:p w:rsidR="00013A0B" w:rsidRPr="00262069" w:rsidRDefault="00013A0B" w:rsidP="00013A0B">
            <w:pPr>
              <w:spacing w:after="0" w:line="240" w:lineRule="auto"/>
              <w:jc w:val="center"/>
              <w:rPr>
                <w:rFonts w:eastAsia="Times New Roman" w:cstheme="minorHAnsi"/>
                <w:i/>
                <w:color w:val="000000"/>
                <w:sz w:val="24"/>
                <w:szCs w:val="24"/>
                <w:lang w:eastAsia="en-IN"/>
              </w:rPr>
            </w:pPr>
            <w:r w:rsidRPr="00262069">
              <w:rPr>
                <w:rFonts w:eastAsia="Times New Roman" w:cstheme="minorHAnsi"/>
                <w:i/>
                <w:color w:val="000000"/>
                <w:sz w:val="24"/>
                <w:szCs w:val="24"/>
                <w:lang w:eastAsia="en-IN"/>
              </w:rPr>
              <w:t>3396</w:t>
            </w:r>
          </w:p>
        </w:tc>
      </w:tr>
      <w:tr w:rsidR="00013A0B" w:rsidRPr="00262069" w:rsidTr="00013A0B">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13A0B" w:rsidRPr="00262069" w:rsidRDefault="00013A0B" w:rsidP="00013A0B">
            <w:pPr>
              <w:spacing w:after="0" w:line="240" w:lineRule="auto"/>
              <w:jc w:val="center"/>
              <w:rPr>
                <w:rFonts w:eastAsia="Times New Roman" w:cstheme="minorHAnsi"/>
                <w:i/>
                <w:color w:val="000000"/>
                <w:sz w:val="24"/>
                <w:szCs w:val="24"/>
                <w:lang w:eastAsia="en-IN"/>
              </w:rPr>
            </w:pPr>
            <w:r w:rsidRPr="00262069">
              <w:rPr>
                <w:rFonts w:eastAsia="Times New Roman" w:cstheme="minorHAnsi"/>
                <w:i/>
                <w:color w:val="000000"/>
                <w:sz w:val="24"/>
                <w:szCs w:val="24"/>
                <w:lang w:eastAsia="en-IN"/>
              </w:rPr>
              <w:t>iii</w:t>
            </w:r>
          </w:p>
        </w:tc>
        <w:tc>
          <w:tcPr>
            <w:tcW w:w="3860" w:type="dxa"/>
            <w:tcBorders>
              <w:top w:val="nil"/>
              <w:left w:val="nil"/>
              <w:bottom w:val="single" w:sz="4" w:space="0" w:color="auto"/>
              <w:right w:val="single" w:sz="4" w:space="0" w:color="auto"/>
            </w:tcBorders>
            <w:shd w:val="clear" w:color="auto" w:fill="auto"/>
            <w:noWrap/>
            <w:vAlign w:val="bottom"/>
            <w:hideMark/>
          </w:tcPr>
          <w:p w:rsidR="00013A0B" w:rsidRPr="00262069" w:rsidRDefault="00013A0B" w:rsidP="00013A0B">
            <w:pPr>
              <w:spacing w:after="0" w:line="240" w:lineRule="auto"/>
              <w:rPr>
                <w:rFonts w:eastAsia="Times New Roman" w:cstheme="minorHAnsi"/>
                <w:i/>
                <w:color w:val="000000"/>
                <w:sz w:val="24"/>
                <w:szCs w:val="24"/>
                <w:lang w:eastAsia="en-IN"/>
              </w:rPr>
            </w:pPr>
            <w:r w:rsidRPr="00A64146">
              <w:rPr>
                <w:rFonts w:cstheme="minorHAnsi"/>
                <w:i/>
                <w:color w:val="000000" w:themeColor="text1"/>
              </w:rPr>
              <w:t>Impact of Principles laid down in the judgment in Civil Appeal No. 1854-1855 of 2013</w:t>
            </w:r>
          </w:p>
        </w:tc>
        <w:tc>
          <w:tcPr>
            <w:tcW w:w="1133" w:type="dxa"/>
            <w:tcBorders>
              <w:top w:val="nil"/>
              <w:left w:val="nil"/>
              <w:bottom w:val="single" w:sz="4" w:space="0" w:color="auto"/>
              <w:right w:val="single" w:sz="4" w:space="0" w:color="auto"/>
            </w:tcBorders>
            <w:shd w:val="clear" w:color="auto" w:fill="auto"/>
            <w:noWrap/>
            <w:vAlign w:val="center"/>
            <w:hideMark/>
          </w:tcPr>
          <w:p w:rsidR="00013A0B" w:rsidRPr="00262069" w:rsidRDefault="00013A0B" w:rsidP="00013A0B">
            <w:pPr>
              <w:spacing w:after="0" w:line="240" w:lineRule="auto"/>
              <w:jc w:val="center"/>
              <w:rPr>
                <w:rFonts w:eastAsia="Times New Roman" w:cstheme="minorHAnsi"/>
                <w:i/>
                <w:color w:val="000000"/>
                <w:sz w:val="24"/>
                <w:szCs w:val="24"/>
                <w:lang w:eastAsia="en-IN"/>
              </w:rPr>
            </w:pPr>
            <w:r w:rsidRPr="00262069">
              <w:rPr>
                <w:rFonts w:eastAsia="Times New Roman" w:cstheme="minorHAnsi"/>
                <w:i/>
                <w:color w:val="000000"/>
                <w:sz w:val="24"/>
                <w:szCs w:val="24"/>
                <w:lang w:eastAsia="en-IN"/>
              </w:rPr>
              <w:t>923</w:t>
            </w:r>
          </w:p>
        </w:tc>
        <w:tc>
          <w:tcPr>
            <w:tcW w:w="1048" w:type="dxa"/>
            <w:tcBorders>
              <w:top w:val="nil"/>
              <w:left w:val="nil"/>
              <w:bottom w:val="single" w:sz="4" w:space="0" w:color="auto"/>
              <w:right w:val="single" w:sz="4" w:space="0" w:color="auto"/>
            </w:tcBorders>
            <w:shd w:val="clear" w:color="auto" w:fill="auto"/>
            <w:noWrap/>
            <w:vAlign w:val="center"/>
            <w:hideMark/>
          </w:tcPr>
          <w:p w:rsidR="00013A0B" w:rsidRPr="00262069" w:rsidRDefault="00013A0B" w:rsidP="00013A0B">
            <w:pPr>
              <w:spacing w:after="0" w:line="240" w:lineRule="auto"/>
              <w:jc w:val="center"/>
              <w:rPr>
                <w:rFonts w:eastAsia="Times New Roman" w:cstheme="minorHAnsi"/>
                <w:i/>
                <w:color w:val="000000"/>
                <w:sz w:val="24"/>
                <w:szCs w:val="24"/>
                <w:lang w:eastAsia="en-IN"/>
              </w:rPr>
            </w:pPr>
            <w:r w:rsidRPr="00262069">
              <w:rPr>
                <w:rFonts w:eastAsia="Times New Roman" w:cstheme="minorHAnsi"/>
                <w:i/>
                <w:color w:val="000000"/>
                <w:sz w:val="24"/>
                <w:szCs w:val="24"/>
                <w:lang w:eastAsia="en-IN"/>
              </w:rPr>
              <w:t>1146</w:t>
            </w:r>
          </w:p>
        </w:tc>
        <w:tc>
          <w:tcPr>
            <w:tcW w:w="960" w:type="dxa"/>
            <w:tcBorders>
              <w:top w:val="nil"/>
              <w:left w:val="nil"/>
              <w:bottom w:val="single" w:sz="4" w:space="0" w:color="auto"/>
              <w:right w:val="single" w:sz="4" w:space="0" w:color="auto"/>
            </w:tcBorders>
            <w:shd w:val="clear" w:color="auto" w:fill="auto"/>
            <w:noWrap/>
            <w:vAlign w:val="center"/>
            <w:hideMark/>
          </w:tcPr>
          <w:p w:rsidR="00013A0B" w:rsidRPr="00262069" w:rsidRDefault="00013A0B" w:rsidP="00013A0B">
            <w:pPr>
              <w:spacing w:after="0" w:line="240" w:lineRule="auto"/>
              <w:jc w:val="center"/>
              <w:rPr>
                <w:rFonts w:eastAsia="Times New Roman" w:cstheme="minorHAnsi"/>
                <w:i/>
                <w:color w:val="000000"/>
                <w:sz w:val="24"/>
                <w:szCs w:val="24"/>
                <w:lang w:eastAsia="en-IN"/>
              </w:rPr>
            </w:pPr>
            <w:r w:rsidRPr="00262069">
              <w:rPr>
                <w:rFonts w:eastAsia="Times New Roman" w:cstheme="minorHAnsi"/>
                <w:i/>
                <w:color w:val="000000"/>
                <w:sz w:val="24"/>
                <w:szCs w:val="24"/>
                <w:lang w:eastAsia="en-IN"/>
              </w:rPr>
              <w:t>2070</w:t>
            </w:r>
          </w:p>
        </w:tc>
      </w:tr>
      <w:tr w:rsidR="00013A0B" w:rsidRPr="00262069" w:rsidTr="00013A0B">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13A0B" w:rsidRPr="00262069" w:rsidRDefault="00013A0B" w:rsidP="00013A0B">
            <w:pPr>
              <w:spacing w:after="0" w:line="240" w:lineRule="auto"/>
              <w:jc w:val="center"/>
              <w:rPr>
                <w:rFonts w:eastAsia="Times New Roman" w:cstheme="minorHAnsi"/>
                <w:b/>
                <w:bCs/>
                <w:color w:val="000000"/>
                <w:sz w:val="24"/>
                <w:szCs w:val="24"/>
                <w:lang w:eastAsia="en-IN"/>
              </w:rPr>
            </w:pPr>
            <w:r w:rsidRPr="00262069">
              <w:rPr>
                <w:rFonts w:eastAsia="Times New Roman" w:cstheme="minorHAnsi"/>
                <w:b/>
                <w:bCs/>
                <w:color w:val="000000"/>
                <w:sz w:val="24"/>
                <w:szCs w:val="24"/>
                <w:lang w:eastAsia="en-IN"/>
              </w:rPr>
              <w:t> </w:t>
            </w:r>
          </w:p>
        </w:tc>
        <w:tc>
          <w:tcPr>
            <w:tcW w:w="3860" w:type="dxa"/>
            <w:tcBorders>
              <w:top w:val="nil"/>
              <w:left w:val="nil"/>
              <w:bottom w:val="single" w:sz="4" w:space="0" w:color="auto"/>
              <w:right w:val="single" w:sz="4" w:space="0" w:color="auto"/>
            </w:tcBorders>
            <w:shd w:val="clear" w:color="auto" w:fill="auto"/>
            <w:vAlign w:val="bottom"/>
            <w:hideMark/>
          </w:tcPr>
          <w:p w:rsidR="00013A0B" w:rsidRPr="00262069" w:rsidRDefault="00013A0B" w:rsidP="00013A0B">
            <w:pPr>
              <w:spacing w:after="0" w:line="240" w:lineRule="auto"/>
              <w:jc w:val="center"/>
              <w:rPr>
                <w:rFonts w:eastAsia="Times New Roman" w:cstheme="minorHAnsi"/>
                <w:b/>
                <w:bCs/>
                <w:color w:val="000000"/>
                <w:sz w:val="24"/>
                <w:szCs w:val="24"/>
                <w:lang w:eastAsia="en-IN"/>
              </w:rPr>
            </w:pPr>
            <w:r w:rsidRPr="00262069">
              <w:rPr>
                <w:rFonts w:eastAsia="Times New Roman" w:cstheme="minorHAnsi"/>
                <w:b/>
                <w:bCs/>
                <w:color w:val="000000"/>
                <w:sz w:val="24"/>
                <w:szCs w:val="24"/>
                <w:lang w:eastAsia="en-IN"/>
              </w:rPr>
              <w:t>Total</w:t>
            </w:r>
            <w:r w:rsidR="008011BA">
              <w:rPr>
                <w:rFonts w:eastAsia="Times New Roman" w:cstheme="minorHAnsi"/>
                <w:b/>
                <w:bCs/>
                <w:color w:val="000000"/>
                <w:sz w:val="24"/>
                <w:szCs w:val="24"/>
                <w:lang w:eastAsia="en-IN"/>
              </w:rPr>
              <w:t xml:space="preserve"> (1A)</w:t>
            </w:r>
          </w:p>
        </w:tc>
        <w:tc>
          <w:tcPr>
            <w:tcW w:w="1133" w:type="dxa"/>
            <w:tcBorders>
              <w:top w:val="nil"/>
              <w:left w:val="nil"/>
              <w:bottom w:val="single" w:sz="4" w:space="0" w:color="auto"/>
              <w:right w:val="single" w:sz="4" w:space="0" w:color="auto"/>
            </w:tcBorders>
            <w:shd w:val="clear" w:color="auto" w:fill="auto"/>
            <w:noWrap/>
            <w:vAlign w:val="center"/>
            <w:hideMark/>
          </w:tcPr>
          <w:p w:rsidR="00013A0B" w:rsidRPr="00262069" w:rsidRDefault="00013A0B" w:rsidP="00013A0B">
            <w:pPr>
              <w:spacing w:after="0" w:line="240" w:lineRule="auto"/>
              <w:jc w:val="center"/>
              <w:rPr>
                <w:rFonts w:eastAsia="Times New Roman" w:cstheme="minorHAnsi"/>
                <w:b/>
                <w:bCs/>
                <w:color w:val="000000"/>
                <w:sz w:val="24"/>
                <w:szCs w:val="24"/>
                <w:lang w:eastAsia="en-IN"/>
              </w:rPr>
            </w:pPr>
            <w:r w:rsidRPr="00262069">
              <w:rPr>
                <w:rFonts w:eastAsia="Times New Roman" w:cstheme="minorHAnsi"/>
                <w:b/>
                <w:bCs/>
                <w:color w:val="000000"/>
                <w:sz w:val="24"/>
                <w:szCs w:val="24"/>
                <w:lang w:eastAsia="en-IN"/>
              </w:rPr>
              <w:t>4</w:t>
            </w:r>
            <w:r>
              <w:rPr>
                <w:rFonts w:eastAsia="Times New Roman" w:cstheme="minorHAnsi"/>
                <w:b/>
                <w:bCs/>
                <w:color w:val="000000"/>
                <w:sz w:val="24"/>
                <w:szCs w:val="24"/>
                <w:lang w:eastAsia="en-IN"/>
              </w:rPr>
              <w:t>,</w:t>
            </w:r>
            <w:r w:rsidRPr="00262069">
              <w:rPr>
                <w:rFonts w:eastAsia="Times New Roman" w:cstheme="minorHAnsi"/>
                <w:b/>
                <w:bCs/>
                <w:color w:val="000000"/>
                <w:sz w:val="24"/>
                <w:szCs w:val="24"/>
                <w:lang w:eastAsia="en-IN"/>
              </w:rPr>
              <w:t>067</w:t>
            </w:r>
          </w:p>
        </w:tc>
        <w:tc>
          <w:tcPr>
            <w:tcW w:w="1048" w:type="dxa"/>
            <w:tcBorders>
              <w:top w:val="nil"/>
              <w:left w:val="nil"/>
              <w:bottom w:val="single" w:sz="4" w:space="0" w:color="auto"/>
              <w:right w:val="single" w:sz="4" w:space="0" w:color="auto"/>
            </w:tcBorders>
            <w:shd w:val="clear" w:color="auto" w:fill="auto"/>
            <w:noWrap/>
            <w:vAlign w:val="center"/>
            <w:hideMark/>
          </w:tcPr>
          <w:p w:rsidR="00013A0B" w:rsidRPr="00262069" w:rsidRDefault="00013A0B" w:rsidP="00013A0B">
            <w:pPr>
              <w:spacing w:after="0" w:line="240" w:lineRule="auto"/>
              <w:jc w:val="center"/>
              <w:rPr>
                <w:rFonts w:eastAsia="Times New Roman" w:cstheme="minorHAnsi"/>
                <w:b/>
                <w:bCs/>
                <w:color w:val="000000"/>
                <w:sz w:val="24"/>
                <w:szCs w:val="24"/>
                <w:lang w:eastAsia="en-IN"/>
              </w:rPr>
            </w:pPr>
            <w:r w:rsidRPr="00262069">
              <w:rPr>
                <w:rFonts w:eastAsia="Times New Roman" w:cstheme="minorHAnsi"/>
                <w:b/>
                <w:bCs/>
                <w:color w:val="000000"/>
                <w:sz w:val="24"/>
                <w:szCs w:val="24"/>
                <w:lang w:eastAsia="en-IN"/>
              </w:rPr>
              <w:t>6</w:t>
            </w:r>
            <w:r>
              <w:rPr>
                <w:rFonts w:eastAsia="Times New Roman" w:cstheme="minorHAnsi"/>
                <w:b/>
                <w:bCs/>
                <w:color w:val="000000"/>
                <w:sz w:val="24"/>
                <w:szCs w:val="24"/>
                <w:lang w:eastAsia="en-IN"/>
              </w:rPr>
              <w:t>,</w:t>
            </w:r>
            <w:r w:rsidRPr="00262069">
              <w:rPr>
                <w:rFonts w:eastAsia="Times New Roman" w:cstheme="minorHAnsi"/>
                <w:b/>
                <w:bCs/>
                <w:color w:val="000000"/>
                <w:sz w:val="24"/>
                <w:szCs w:val="24"/>
                <w:lang w:eastAsia="en-IN"/>
              </w:rPr>
              <w:t>383</w:t>
            </w:r>
          </w:p>
        </w:tc>
        <w:tc>
          <w:tcPr>
            <w:tcW w:w="960" w:type="dxa"/>
            <w:tcBorders>
              <w:top w:val="nil"/>
              <w:left w:val="nil"/>
              <w:bottom w:val="single" w:sz="4" w:space="0" w:color="auto"/>
              <w:right w:val="single" w:sz="4" w:space="0" w:color="auto"/>
            </w:tcBorders>
            <w:shd w:val="clear" w:color="auto" w:fill="auto"/>
            <w:noWrap/>
            <w:vAlign w:val="center"/>
            <w:hideMark/>
          </w:tcPr>
          <w:p w:rsidR="00013A0B" w:rsidRPr="00262069" w:rsidRDefault="00013A0B" w:rsidP="00013A0B">
            <w:pPr>
              <w:spacing w:after="0" w:line="240" w:lineRule="auto"/>
              <w:jc w:val="center"/>
              <w:rPr>
                <w:rFonts w:eastAsia="Times New Roman" w:cstheme="minorHAnsi"/>
                <w:b/>
                <w:bCs/>
                <w:color w:val="000000"/>
                <w:sz w:val="24"/>
                <w:szCs w:val="24"/>
                <w:lang w:eastAsia="en-IN"/>
              </w:rPr>
            </w:pPr>
            <w:r w:rsidRPr="00262069">
              <w:rPr>
                <w:rFonts w:eastAsia="Times New Roman" w:cstheme="minorHAnsi"/>
                <w:b/>
                <w:bCs/>
                <w:color w:val="000000"/>
                <w:sz w:val="24"/>
                <w:szCs w:val="24"/>
                <w:lang w:eastAsia="en-IN"/>
              </w:rPr>
              <w:t>10</w:t>
            </w:r>
            <w:r>
              <w:rPr>
                <w:rFonts w:eastAsia="Times New Roman" w:cstheme="minorHAnsi"/>
                <w:b/>
                <w:bCs/>
                <w:color w:val="000000"/>
                <w:sz w:val="24"/>
                <w:szCs w:val="24"/>
                <w:lang w:eastAsia="en-IN"/>
              </w:rPr>
              <w:t>,</w:t>
            </w:r>
            <w:r w:rsidRPr="00262069">
              <w:rPr>
                <w:rFonts w:eastAsia="Times New Roman" w:cstheme="minorHAnsi"/>
                <w:b/>
                <w:bCs/>
                <w:color w:val="000000"/>
                <w:sz w:val="24"/>
                <w:szCs w:val="24"/>
                <w:lang w:eastAsia="en-IN"/>
              </w:rPr>
              <w:t>451</w:t>
            </w:r>
          </w:p>
        </w:tc>
      </w:tr>
      <w:tr w:rsidR="00013A0B" w:rsidRPr="00262069" w:rsidTr="00013A0B">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13A0B" w:rsidRPr="00262069" w:rsidRDefault="00013A0B" w:rsidP="00013A0B">
            <w:pPr>
              <w:spacing w:after="0" w:line="240" w:lineRule="auto"/>
              <w:jc w:val="center"/>
              <w:rPr>
                <w:rFonts w:eastAsia="Times New Roman" w:cstheme="minorHAnsi"/>
                <w:bCs/>
                <w:color w:val="000000"/>
                <w:sz w:val="24"/>
                <w:szCs w:val="24"/>
                <w:lang w:eastAsia="en-IN"/>
              </w:rPr>
            </w:pPr>
            <w:r w:rsidRPr="00A64146">
              <w:rPr>
                <w:rFonts w:eastAsia="Times New Roman" w:cstheme="minorHAnsi"/>
                <w:bCs/>
                <w:color w:val="000000"/>
                <w:sz w:val="24"/>
                <w:szCs w:val="24"/>
                <w:lang w:eastAsia="en-IN"/>
              </w:rPr>
              <w:t>1</w:t>
            </w:r>
            <w:r w:rsidRPr="00262069">
              <w:rPr>
                <w:rFonts w:eastAsia="Times New Roman" w:cstheme="minorHAnsi"/>
                <w:bCs/>
                <w:color w:val="000000"/>
                <w:sz w:val="24"/>
                <w:szCs w:val="24"/>
                <w:lang w:eastAsia="en-IN"/>
              </w:rPr>
              <w:t>B</w:t>
            </w:r>
          </w:p>
        </w:tc>
        <w:tc>
          <w:tcPr>
            <w:tcW w:w="3860" w:type="dxa"/>
            <w:tcBorders>
              <w:top w:val="nil"/>
              <w:left w:val="nil"/>
              <w:bottom w:val="single" w:sz="4" w:space="0" w:color="auto"/>
              <w:right w:val="single" w:sz="4" w:space="0" w:color="auto"/>
            </w:tcBorders>
            <w:shd w:val="clear" w:color="auto" w:fill="auto"/>
            <w:noWrap/>
            <w:vAlign w:val="bottom"/>
            <w:hideMark/>
          </w:tcPr>
          <w:p w:rsidR="00013A0B" w:rsidRPr="00262069" w:rsidRDefault="00013A0B" w:rsidP="00013A0B">
            <w:pPr>
              <w:spacing w:after="0" w:line="240" w:lineRule="auto"/>
              <w:rPr>
                <w:rFonts w:eastAsia="Times New Roman" w:cstheme="minorHAnsi"/>
                <w:bCs/>
                <w:color w:val="000000"/>
                <w:sz w:val="24"/>
                <w:szCs w:val="24"/>
                <w:lang w:eastAsia="en-IN"/>
              </w:rPr>
            </w:pPr>
            <w:r w:rsidRPr="00A64146">
              <w:rPr>
                <w:rFonts w:cstheme="minorHAnsi"/>
                <w:color w:val="000000" w:themeColor="text1"/>
              </w:rPr>
              <w:t>Impact of Hon’ble Supreme Court Judgment and Order dated 18.10.2022</w:t>
            </w:r>
          </w:p>
        </w:tc>
        <w:tc>
          <w:tcPr>
            <w:tcW w:w="1133" w:type="dxa"/>
            <w:tcBorders>
              <w:top w:val="nil"/>
              <w:left w:val="nil"/>
              <w:bottom w:val="single" w:sz="4" w:space="0" w:color="auto"/>
              <w:right w:val="single" w:sz="4" w:space="0" w:color="auto"/>
            </w:tcBorders>
            <w:shd w:val="clear" w:color="auto" w:fill="auto"/>
            <w:noWrap/>
            <w:vAlign w:val="center"/>
            <w:hideMark/>
          </w:tcPr>
          <w:p w:rsidR="00013A0B" w:rsidRPr="00262069" w:rsidRDefault="00013A0B" w:rsidP="00013A0B">
            <w:pPr>
              <w:spacing w:after="0" w:line="240" w:lineRule="auto"/>
              <w:jc w:val="center"/>
              <w:rPr>
                <w:rFonts w:eastAsia="Times New Roman" w:cstheme="minorHAnsi"/>
                <w:b/>
                <w:bCs/>
                <w:color w:val="000000"/>
                <w:sz w:val="24"/>
                <w:szCs w:val="24"/>
                <w:lang w:eastAsia="en-IN"/>
              </w:rPr>
            </w:pPr>
          </w:p>
        </w:tc>
        <w:tc>
          <w:tcPr>
            <w:tcW w:w="1048" w:type="dxa"/>
            <w:tcBorders>
              <w:top w:val="nil"/>
              <w:left w:val="nil"/>
              <w:bottom w:val="single" w:sz="4" w:space="0" w:color="auto"/>
              <w:right w:val="single" w:sz="4" w:space="0" w:color="auto"/>
            </w:tcBorders>
            <w:shd w:val="clear" w:color="auto" w:fill="auto"/>
            <w:noWrap/>
            <w:vAlign w:val="center"/>
            <w:hideMark/>
          </w:tcPr>
          <w:p w:rsidR="00013A0B" w:rsidRPr="00262069" w:rsidRDefault="00013A0B" w:rsidP="00013A0B">
            <w:pPr>
              <w:spacing w:after="0" w:line="240" w:lineRule="auto"/>
              <w:jc w:val="center"/>
              <w:rPr>
                <w:rFonts w:eastAsia="Times New Roman" w:cstheme="minorHAnsi"/>
                <w:b/>
                <w:bCs/>
                <w:color w:val="000000"/>
                <w:sz w:val="24"/>
                <w:szCs w:val="24"/>
                <w:lang w:eastAsia="en-IN"/>
              </w:rPr>
            </w:pPr>
          </w:p>
        </w:tc>
        <w:tc>
          <w:tcPr>
            <w:tcW w:w="960" w:type="dxa"/>
            <w:tcBorders>
              <w:top w:val="nil"/>
              <w:left w:val="nil"/>
              <w:bottom w:val="single" w:sz="4" w:space="0" w:color="auto"/>
              <w:right w:val="single" w:sz="4" w:space="0" w:color="auto"/>
            </w:tcBorders>
            <w:shd w:val="clear" w:color="auto" w:fill="auto"/>
            <w:noWrap/>
            <w:vAlign w:val="center"/>
            <w:hideMark/>
          </w:tcPr>
          <w:p w:rsidR="00013A0B" w:rsidRPr="00262069" w:rsidRDefault="00013A0B" w:rsidP="00013A0B">
            <w:pPr>
              <w:spacing w:after="0" w:line="240" w:lineRule="auto"/>
              <w:jc w:val="center"/>
              <w:rPr>
                <w:rFonts w:eastAsia="Times New Roman" w:cstheme="minorHAnsi"/>
                <w:b/>
                <w:bCs/>
                <w:color w:val="000000"/>
                <w:sz w:val="24"/>
                <w:szCs w:val="24"/>
                <w:lang w:eastAsia="en-IN"/>
              </w:rPr>
            </w:pPr>
          </w:p>
        </w:tc>
      </w:tr>
      <w:tr w:rsidR="00013A0B" w:rsidRPr="00262069" w:rsidTr="00013A0B">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13A0B" w:rsidRPr="00262069" w:rsidRDefault="00013A0B" w:rsidP="00013A0B">
            <w:pPr>
              <w:spacing w:after="0" w:line="240" w:lineRule="auto"/>
              <w:jc w:val="center"/>
              <w:rPr>
                <w:rFonts w:eastAsia="Times New Roman" w:cstheme="minorHAnsi"/>
                <w:i/>
                <w:color w:val="000000"/>
                <w:sz w:val="24"/>
                <w:szCs w:val="24"/>
                <w:lang w:eastAsia="en-IN"/>
              </w:rPr>
            </w:pPr>
            <w:r w:rsidRPr="00262069">
              <w:rPr>
                <w:rFonts w:eastAsia="Times New Roman" w:cstheme="minorHAnsi"/>
                <w:i/>
                <w:color w:val="000000"/>
                <w:sz w:val="24"/>
                <w:szCs w:val="24"/>
                <w:lang w:eastAsia="en-IN"/>
              </w:rPr>
              <w:t>i</w:t>
            </w:r>
          </w:p>
        </w:tc>
        <w:tc>
          <w:tcPr>
            <w:tcW w:w="3860" w:type="dxa"/>
            <w:tcBorders>
              <w:top w:val="nil"/>
              <w:left w:val="nil"/>
              <w:bottom w:val="single" w:sz="4" w:space="0" w:color="auto"/>
              <w:right w:val="single" w:sz="4" w:space="0" w:color="auto"/>
            </w:tcBorders>
            <w:shd w:val="clear" w:color="auto" w:fill="auto"/>
            <w:noWrap/>
            <w:vAlign w:val="bottom"/>
            <w:hideMark/>
          </w:tcPr>
          <w:p w:rsidR="00013A0B" w:rsidRPr="00262069" w:rsidRDefault="00013A0B" w:rsidP="00013A0B">
            <w:pPr>
              <w:spacing w:after="0" w:line="240" w:lineRule="auto"/>
              <w:rPr>
                <w:rFonts w:eastAsia="Times New Roman" w:cstheme="minorHAnsi"/>
                <w:i/>
                <w:color w:val="000000"/>
                <w:sz w:val="24"/>
                <w:szCs w:val="24"/>
                <w:lang w:eastAsia="en-IN"/>
              </w:rPr>
            </w:pPr>
            <w:r w:rsidRPr="00A64146">
              <w:rPr>
                <w:rFonts w:cstheme="minorHAnsi"/>
                <w:i/>
                <w:color w:val="000000" w:themeColor="text1"/>
              </w:rPr>
              <w:t>Impact of issues decided in Civil Appeal 4323-4324 of 2015</w:t>
            </w:r>
          </w:p>
        </w:tc>
        <w:tc>
          <w:tcPr>
            <w:tcW w:w="1133" w:type="dxa"/>
            <w:tcBorders>
              <w:top w:val="nil"/>
              <w:left w:val="nil"/>
              <w:bottom w:val="single" w:sz="4" w:space="0" w:color="auto"/>
              <w:right w:val="single" w:sz="4" w:space="0" w:color="auto"/>
            </w:tcBorders>
            <w:shd w:val="clear" w:color="auto" w:fill="auto"/>
            <w:noWrap/>
            <w:vAlign w:val="center"/>
            <w:hideMark/>
          </w:tcPr>
          <w:p w:rsidR="00013A0B" w:rsidRPr="00262069" w:rsidRDefault="00013A0B" w:rsidP="00013A0B">
            <w:pPr>
              <w:spacing w:after="0" w:line="240" w:lineRule="auto"/>
              <w:jc w:val="center"/>
              <w:rPr>
                <w:rFonts w:eastAsia="Times New Roman" w:cstheme="minorHAnsi"/>
                <w:i/>
                <w:color w:val="000000"/>
                <w:sz w:val="24"/>
                <w:szCs w:val="24"/>
                <w:lang w:eastAsia="en-IN"/>
              </w:rPr>
            </w:pPr>
            <w:r w:rsidRPr="00262069">
              <w:rPr>
                <w:rFonts w:eastAsia="Times New Roman" w:cstheme="minorHAnsi"/>
                <w:i/>
                <w:color w:val="000000"/>
                <w:sz w:val="24"/>
                <w:szCs w:val="24"/>
                <w:lang w:eastAsia="en-IN"/>
              </w:rPr>
              <w:t>244</w:t>
            </w:r>
          </w:p>
        </w:tc>
        <w:tc>
          <w:tcPr>
            <w:tcW w:w="1048" w:type="dxa"/>
            <w:tcBorders>
              <w:top w:val="nil"/>
              <w:left w:val="nil"/>
              <w:bottom w:val="single" w:sz="4" w:space="0" w:color="auto"/>
              <w:right w:val="single" w:sz="4" w:space="0" w:color="auto"/>
            </w:tcBorders>
            <w:shd w:val="clear" w:color="auto" w:fill="auto"/>
            <w:noWrap/>
            <w:vAlign w:val="center"/>
            <w:hideMark/>
          </w:tcPr>
          <w:p w:rsidR="00013A0B" w:rsidRPr="00262069" w:rsidRDefault="00013A0B" w:rsidP="00013A0B">
            <w:pPr>
              <w:spacing w:after="0" w:line="240" w:lineRule="auto"/>
              <w:jc w:val="center"/>
              <w:rPr>
                <w:rFonts w:eastAsia="Times New Roman" w:cstheme="minorHAnsi"/>
                <w:i/>
                <w:color w:val="000000"/>
                <w:sz w:val="24"/>
                <w:szCs w:val="24"/>
                <w:lang w:eastAsia="en-IN"/>
              </w:rPr>
            </w:pPr>
            <w:r w:rsidRPr="00262069">
              <w:rPr>
                <w:rFonts w:eastAsia="Times New Roman" w:cstheme="minorHAnsi"/>
                <w:i/>
                <w:color w:val="000000"/>
                <w:sz w:val="24"/>
                <w:szCs w:val="24"/>
                <w:lang w:eastAsia="en-IN"/>
              </w:rPr>
              <w:t>710</w:t>
            </w:r>
          </w:p>
        </w:tc>
        <w:tc>
          <w:tcPr>
            <w:tcW w:w="960" w:type="dxa"/>
            <w:tcBorders>
              <w:top w:val="nil"/>
              <w:left w:val="nil"/>
              <w:bottom w:val="single" w:sz="4" w:space="0" w:color="auto"/>
              <w:right w:val="single" w:sz="4" w:space="0" w:color="auto"/>
            </w:tcBorders>
            <w:shd w:val="clear" w:color="auto" w:fill="auto"/>
            <w:noWrap/>
            <w:vAlign w:val="center"/>
            <w:hideMark/>
          </w:tcPr>
          <w:p w:rsidR="00013A0B" w:rsidRPr="00262069" w:rsidRDefault="00013A0B" w:rsidP="00013A0B">
            <w:pPr>
              <w:spacing w:after="0" w:line="240" w:lineRule="auto"/>
              <w:jc w:val="center"/>
              <w:rPr>
                <w:rFonts w:eastAsia="Times New Roman" w:cstheme="minorHAnsi"/>
                <w:i/>
                <w:color w:val="000000"/>
                <w:sz w:val="24"/>
                <w:szCs w:val="24"/>
                <w:lang w:eastAsia="en-IN"/>
              </w:rPr>
            </w:pPr>
            <w:r w:rsidRPr="00262069">
              <w:rPr>
                <w:rFonts w:eastAsia="Times New Roman" w:cstheme="minorHAnsi"/>
                <w:i/>
                <w:color w:val="000000"/>
                <w:sz w:val="24"/>
                <w:szCs w:val="24"/>
                <w:lang w:eastAsia="en-IN"/>
              </w:rPr>
              <w:t>954</w:t>
            </w:r>
          </w:p>
        </w:tc>
      </w:tr>
      <w:tr w:rsidR="00013A0B" w:rsidRPr="00262069" w:rsidTr="00013A0B">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13A0B" w:rsidRPr="00262069" w:rsidRDefault="00013A0B" w:rsidP="00013A0B">
            <w:pPr>
              <w:spacing w:after="0" w:line="240" w:lineRule="auto"/>
              <w:jc w:val="center"/>
              <w:rPr>
                <w:rFonts w:eastAsia="Times New Roman" w:cstheme="minorHAnsi"/>
                <w:i/>
                <w:color w:val="000000"/>
                <w:sz w:val="24"/>
                <w:szCs w:val="24"/>
                <w:lang w:eastAsia="en-IN"/>
              </w:rPr>
            </w:pPr>
            <w:r w:rsidRPr="00262069">
              <w:rPr>
                <w:rFonts w:eastAsia="Times New Roman" w:cstheme="minorHAnsi"/>
                <w:i/>
                <w:color w:val="000000"/>
                <w:sz w:val="24"/>
                <w:szCs w:val="24"/>
                <w:lang w:eastAsia="en-IN"/>
              </w:rPr>
              <w:t>ii</w:t>
            </w:r>
          </w:p>
        </w:tc>
        <w:tc>
          <w:tcPr>
            <w:tcW w:w="3860" w:type="dxa"/>
            <w:tcBorders>
              <w:top w:val="nil"/>
              <w:left w:val="nil"/>
              <w:bottom w:val="single" w:sz="4" w:space="0" w:color="auto"/>
              <w:right w:val="single" w:sz="4" w:space="0" w:color="auto"/>
            </w:tcBorders>
            <w:shd w:val="clear" w:color="auto" w:fill="auto"/>
            <w:noWrap/>
            <w:vAlign w:val="bottom"/>
            <w:hideMark/>
          </w:tcPr>
          <w:p w:rsidR="00013A0B" w:rsidRPr="00262069" w:rsidRDefault="00013A0B" w:rsidP="00013A0B">
            <w:pPr>
              <w:spacing w:after="0" w:line="240" w:lineRule="auto"/>
              <w:rPr>
                <w:rFonts w:eastAsia="Times New Roman" w:cstheme="minorHAnsi"/>
                <w:i/>
                <w:color w:val="000000"/>
                <w:sz w:val="24"/>
                <w:szCs w:val="24"/>
                <w:lang w:eastAsia="en-IN"/>
              </w:rPr>
            </w:pPr>
            <w:r w:rsidRPr="00A64146">
              <w:rPr>
                <w:rFonts w:cstheme="minorHAnsi"/>
                <w:i/>
                <w:color w:val="000000" w:themeColor="text1"/>
              </w:rPr>
              <w:t>Impact of the Principles decided in the Judgment on other issues</w:t>
            </w:r>
          </w:p>
        </w:tc>
        <w:tc>
          <w:tcPr>
            <w:tcW w:w="1133" w:type="dxa"/>
            <w:tcBorders>
              <w:top w:val="nil"/>
              <w:left w:val="nil"/>
              <w:bottom w:val="single" w:sz="4" w:space="0" w:color="auto"/>
              <w:right w:val="single" w:sz="4" w:space="0" w:color="auto"/>
            </w:tcBorders>
            <w:shd w:val="clear" w:color="auto" w:fill="auto"/>
            <w:noWrap/>
            <w:vAlign w:val="center"/>
            <w:hideMark/>
          </w:tcPr>
          <w:p w:rsidR="00013A0B" w:rsidRPr="00262069" w:rsidRDefault="00013A0B" w:rsidP="00013A0B">
            <w:pPr>
              <w:spacing w:after="0" w:line="240" w:lineRule="auto"/>
              <w:jc w:val="center"/>
              <w:rPr>
                <w:rFonts w:eastAsia="Times New Roman" w:cstheme="minorHAnsi"/>
                <w:i/>
                <w:color w:val="000000"/>
                <w:sz w:val="24"/>
                <w:szCs w:val="24"/>
                <w:lang w:eastAsia="en-IN"/>
              </w:rPr>
            </w:pPr>
            <w:r w:rsidRPr="00262069">
              <w:rPr>
                <w:rFonts w:eastAsia="Times New Roman" w:cstheme="minorHAnsi"/>
                <w:i/>
                <w:color w:val="000000"/>
                <w:sz w:val="24"/>
                <w:szCs w:val="24"/>
                <w:lang w:eastAsia="en-IN"/>
              </w:rPr>
              <w:t>599</w:t>
            </w:r>
          </w:p>
        </w:tc>
        <w:tc>
          <w:tcPr>
            <w:tcW w:w="1048" w:type="dxa"/>
            <w:tcBorders>
              <w:top w:val="nil"/>
              <w:left w:val="nil"/>
              <w:bottom w:val="single" w:sz="4" w:space="0" w:color="auto"/>
              <w:right w:val="single" w:sz="4" w:space="0" w:color="auto"/>
            </w:tcBorders>
            <w:shd w:val="clear" w:color="auto" w:fill="auto"/>
            <w:noWrap/>
            <w:vAlign w:val="center"/>
            <w:hideMark/>
          </w:tcPr>
          <w:p w:rsidR="00013A0B" w:rsidRPr="00262069" w:rsidRDefault="00013A0B" w:rsidP="00013A0B">
            <w:pPr>
              <w:spacing w:after="0" w:line="240" w:lineRule="auto"/>
              <w:jc w:val="center"/>
              <w:rPr>
                <w:rFonts w:eastAsia="Times New Roman" w:cstheme="minorHAnsi"/>
                <w:i/>
                <w:color w:val="000000"/>
                <w:sz w:val="24"/>
                <w:szCs w:val="24"/>
                <w:lang w:eastAsia="en-IN"/>
              </w:rPr>
            </w:pPr>
            <w:r w:rsidRPr="00262069">
              <w:rPr>
                <w:rFonts w:eastAsia="Times New Roman" w:cstheme="minorHAnsi"/>
                <w:i/>
                <w:color w:val="000000"/>
                <w:sz w:val="24"/>
                <w:szCs w:val="24"/>
                <w:lang w:eastAsia="en-IN"/>
              </w:rPr>
              <w:t>505</w:t>
            </w:r>
          </w:p>
        </w:tc>
        <w:tc>
          <w:tcPr>
            <w:tcW w:w="960" w:type="dxa"/>
            <w:tcBorders>
              <w:top w:val="nil"/>
              <w:left w:val="nil"/>
              <w:bottom w:val="single" w:sz="4" w:space="0" w:color="auto"/>
              <w:right w:val="single" w:sz="4" w:space="0" w:color="auto"/>
            </w:tcBorders>
            <w:shd w:val="clear" w:color="auto" w:fill="auto"/>
            <w:noWrap/>
            <w:vAlign w:val="center"/>
            <w:hideMark/>
          </w:tcPr>
          <w:p w:rsidR="00013A0B" w:rsidRPr="00262069" w:rsidRDefault="00013A0B" w:rsidP="00013A0B">
            <w:pPr>
              <w:spacing w:after="0" w:line="240" w:lineRule="auto"/>
              <w:jc w:val="center"/>
              <w:rPr>
                <w:rFonts w:eastAsia="Times New Roman" w:cstheme="minorHAnsi"/>
                <w:i/>
                <w:color w:val="000000"/>
                <w:sz w:val="24"/>
                <w:szCs w:val="24"/>
                <w:lang w:eastAsia="en-IN"/>
              </w:rPr>
            </w:pPr>
            <w:r w:rsidRPr="00262069">
              <w:rPr>
                <w:rFonts w:eastAsia="Times New Roman" w:cstheme="minorHAnsi"/>
                <w:i/>
                <w:color w:val="000000"/>
                <w:sz w:val="24"/>
                <w:szCs w:val="24"/>
                <w:lang w:eastAsia="en-IN"/>
              </w:rPr>
              <w:t>1104</w:t>
            </w:r>
          </w:p>
        </w:tc>
      </w:tr>
      <w:tr w:rsidR="00013A0B" w:rsidRPr="00262069" w:rsidTr="00013A0B">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13A0B" w:rsidRPr="00262069" w:rsidRDefault="00013A0B" w:rsidP="00013A0B">
            <w:pPr>
              <w:spacing w:after="0" w:line="240" w:lineRule="auto"/>
              <w:jc w:val="center"/>
              <w:rPr>
                <w:rFonts w:eastAsia="Times New Roman" w:cstheme="minorHAnsi"/>
                <w:b/>
                <w:bCs/>
                <w:color w:val="000000"/>
                <w:sz w:val="24"/>
                <w:szCs w:val="24"/>
                <w:lang w:eastAsia="en-IN"/>
              </w:rPr>
            </w:pPr>
            <w:r w:rsidRPr="00262069">
              <w:rPr>
                <w:rFonts w:eastAsia="Times New Roman" w:cstheme="minorHAnsi"/>
                <w:b/>
                <w:bCs/>
                <w:color w:val="000000"/>
                <w:sz w:val="24"/>
                <w:szCs w:val="24"/>
                <w:lang w:eastAsia="en-IN"/>
              </w:rPr>
              <w:t> </w:t>
            </w:r>
          </w:p>
        </w:tc>
        <w:tc>
          <w:tcPr>
            <w:tcW w:w="3860" w:type="dxa"/>
            <w:tcBorders>
              <w:top w:val="nil"/>
              <w:left w:val="nil"/>
              <w:bottom w:val="single" w:sz="4" w:space="0" w:color="auto"/>
              <w:right w:val="single" w:sz="4" w:space="0" w:color="auto"/>
            </w:tcBorders>
            <w:shd w:val="clear" w:color="auto" w:fill="auto"/>
            <w:vAlign w:val="bottom"/>
            <w:hideMark/>
          </w:tcPr>
          <w:p w:rsidR="00013A0B" w:rsidRPr="00262069" w:rsidRDefault="00013A0B" w:rsidP="00013A0B">
            <w:pPr>
              <w:spacing w:after="0" w:line="240" w:lineRule="auto"/>
              <w:jc w:val="center"/>
              <w:rPr>
                <w:rFonts w:eastAsia="Times New Roman" w:cstheme="minorHAnsi"/>
                <w:b/>
                <w:bCs/>
                <w:color w:val="000000"/>
                <w:sz w:val="24"/>
                <w:szCs w:val="24"/>
                <w:lang w:eastAsia="en-IN"/>
              </w:rPr>
            </w:pPr>
            <w:r w:rsidRPr="00262069">
              <w:rPr>
                <w:rFonts w:eastAsia="Times New Roman" w:cstheme="minorHAnsi"/>
                <w:b/>
                <w:bCs/>
                <w:color w:val="000000"/>
                <w:sz w:val="24"/>
                <w:szCs w:val="24"/>
                <w:lang w:eastAsia="en-IN"/>
              </w:rPr>
              <w:t> </w:t>
            </w:r>
            <w:r w:rsidR="00A64146" w:rsidRPr="00262069">
              <w:rPr>
                <w:rFonts w:eastAsia="Times New Roman" w:cstheme="minorHAnsi"/>
                <w:b/>
                <w:bCs/>
                <w:color w:val="000000"/>
                <w:sz w:val="24"/>
                <w:szCs w:val="24"/>
                <w:lang w:eastAsia="en-IN"/>
              </w:rPr>
              <w:t>Total</w:t>
            </w:r>
            <w:r w:rsidR="008011BA">
              <w:rPr>
                <w:rFonts w:eastAsia="Times New Roman" w:cstheme="minorHAnsi"/>
                <w:b/>
                <w:bCs/>
                <w:color w:val="000000"/>
                <w:sz w:val="24"/>
                <w:szCs w:val="24"/>
                <w:lang w:eastAsia="en-IN"/>
              </w:rPr>
              <w:t xml:space="preserve"> (1B)</w:t>
            </w:r>
          </w:p>
        </w:tc>
        <w:tc>
          <w:tcPr>
            <w:tcW w:w="1133" w:type="dxa"/>
            <w:tcBorders>
              <w:top w:val="nil"/>
              <w:left w:val="nil"/>
              <w:bottom w:val="single" w:sz="4" w:space="0" w:color="auto"/>
              <w:right w:val="single" w:sz="4" w:space="0" w:color="auto"/>
            </w:tcBorders>
            <w:shd w:val="clear" w:color="auto" w:fill="auto"/>
            <w:noWrap/>
            <w:vAlign w:val="center"/>
            <w:hideMark/>
          </w:tcPr>
          <w:p w:rsidR="00013A0B" w:rsidRPr="00262069" w:rsidRDefault="00013A0B" w:rsidP="00013A0B">
            <w:pPr>
              <w:spacing w:after="0" w:line="240" w:lineRule="auto"/>
              <w:jc w:val="center"/>
              <w:rPr>
                <w:rFonts w:eastAsia="Times New Roman" w:cstheme="minorHAnsi"/>
                <w:b/>
                <w:bCs/>
                <w:color w:val="000000"/>
                <w:sz w:val="24"/>
                <w:szCs w:val="24"/>
                <w:lang w:eastAsia="en-IN"/>
              </w:rPr>
            </w:pPr>
            <w:r w:rsidRPr="00262069">
              <w:rPr>
                <w:rFonts w:eastAsia="Times New Roman" w:cstheme="minorHAnsi"/>
                <w:b/>
                <w:bCs/>
                <w:color w:val="000000"/>
                <w:sz w:val="24"/>
                <w:szCs w:val="24"/>
                <w:lang w:eastAsia="en-IN"/>
              </w:rPr>
              <w:t>842</w:t>
            </w:r>
          </w:p>
        </w:tc>
        <w:tc>
          <w:tcPr>
            <w:tcW w:w="1048" w:type="dxa"/>
            <w:tcBorders>
              <w:top w:val="nil"/>
              <w:left w:val="nil"/>
              <w:bottom w:val="single" w:sz="4" w:space="0" w:color="auto"/>
              <w:right w:val="single" w:sz="4" w:space="0" w:color="auto"/>
            </w:tcBorders>
            <w:shd w:val="clear" w:color="auto" w:fill="auto"/>
            <w:noWrap/>
            <w:vAlign w:val="center"/>
            <w:hideMark/>
          </w:tcPr>
          <w:p w:rsidR="00013A0B" w:rsidRPr="00262069" w:rsidRDefault="00013A0B" w:rsidP="00013A0B">
            <w:pPr>
              <w:spacing w:after="0" w:line="240" w:lineRule="auto"/>
              <w:jc w:val="center"/>
              <w:rPr>
                <w:rFonts w:eastAsia="Times New Roman" w:cstheme="minorHAnsi"/>
                <w:b/>
                <w:bCs/>
                <w:color w:val="000000"/>
                <w:sz w:val="24"/>
                <w:szCs w:val="24"/>
                <w:lang w:eastAsia="en-IN"/>
              </w:rPr>
            </w:pPr>
            <w:r w:rsidRPr="00262069">
              <w:rPr>
                <w:rFonts w:eastAsia="Times New Roman" w:cstheme="minorHAnsi"/>
                <w:b/>
                <w:bCs/>
                <w:color w:val="000000"/>
                <w:sz w:val="24"/>
                <w:szCs w:val="24"/>
                <w:lang w:eastAsia="en-IN"/>
              </w:rPr>
              <w:t>1</w:t>
            </w:r>
            <w:r>
              <w:rPr>
                <w:rFonts w:eastAsia="Times New Roman" w:cstheme="minorHAnsi"/>
                <w:b/>
                <w:bCs/>
                <w:color w:val="000000"/>
                <w:sz w:val="24"/>
                <w:szCs w:val="24"/>
                <w:lang w:eastAsia="en-IN"/>
              </w:rPr>
              <w:t>,</w:t>
            </w:r>
            <w:r w:rsidRPr="00262069">
              <w:rPr>
                <w:rFonts w:eastAsia="Times New Roman" w:cstheme="minorHAnsi"/>
                <w:b/>
                <w:bCs/>
                <w:color w:val="000000"/>
                <w:sz w:val="24"/>
                <w:szCs w:val="24"/>
                <w:lang w:eastAsia="en-IN"/>
              </w:rPr>
              <w:t>215</w:t>
            </w:r>
          </w:p>
        </w:tc>
        <w:tc>
          <w:tcPr>
            <w:tcW w:w="960" w:type="dxa"/>
            <w:tcBorders>
              <w:top w:val="nil"/>
              <w:left w:val="nil"/>
              <w:bottom w:val="single" w:sz="4" w:space="0" w:color="auto"/>
              <w:right w:val="single" w:sz="4" w:space="0" w:color="auto"/>
            </w:tcBorders>
            <w:shd w:val="clear" w:color="auto" w:fill="auto"/>
            <w:noWrap/>
            <w:vAlign w:val="center"/>
            <w:hideMark/>
          </w:tcPr>
          <w:p w:rsidR="00013A0B" w:rsidRPr="00262069" w:rsidRDefault="00013A0B" w:rsidP="00013A0B">
            <w:pPr>
              <w:spacing w:after="0" w:line="240" w:lineRule="auto"/>
              <w:jc w:val="center"/>
              <w:rPr>
                <w:rFonts w:eastAsia="Times New Roman" w:cstheme="minorHAnsi"/>
                <w:b/>
                <w:bCs/>
                <w:color w:val="000000"/>
                <w:sz w:val="24"/>
                <w:szCs w:val="24"/>
                <w:lang w:eastAsia="en-IN"/>
              </w:rPr>
            </w:pPr>
            <w:r w:rsidRPr="00262069">
              <w:rPr>
                <w:rFonts w:eastAsia="Times New Roman" w:cstheme="minorHAnsi"/>
                <w:b/>
                <w:bCs/>
                <w:color w:val="000000"/>
                <w:sz w:val="24"/>
                <w:szCs w:val="24"/>
                <w:lang w:eastAsia="en-IN"/>
              </w:rPr>
              <w:t>2</w:t>
            </w:r>
            <w:r>
              <w:rPr>
                <w:rFonts w:eastAsia="Times New Roman" w:cstheme="minorHAnsi"/>
                <w:b/>
                <w:bCs/>
                <w:color w:val="000000"/>
                <w:sz w:val="24"/>
                <w:szCs w:val="24"/>
                <w:lang w:eastAsia="en-IN"/>
              </w:rPr>
              <w:t>,</w:t>
            </w:r>
            <w:r w:rsidRPr="00262069">
              <w:rPr>
                <w:rFonts w:eastAsia="Times New Roman" w:cstheme="minorHAnsi"/>
                <w:b/>
                <w:bCs/>
                <w:color w:val="000000"/>
                <w:sz w:val="24"/>
                <w:szCs w:val="24"/>
                <w:lang w:eastAsia="en-IN"/>
              </w:rPr>
              <w:t>057</w:t>
            </w:r>
          </w:p>
        </w:tc>
      </w:tr>
      <w:tr w:rsidR="00013A0B" w:rsidRPr="00262069" w:rsidTr="00013A0B">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13A0B" w:rsidRPr="00262069" w:rsidRDefault="008011BA" w:rsidP="00013A0B">
            <w:pPr>
              <w:spacing w:after="0" w:line="240" w:lineRule="auto"/>
              <w:jc w:val="center"/>
              <w:rPr>
                <w:rFonts w:eastAsia="Times New Roman" w:cstheme="minorHAnsi"/>
                <w:color w:val="000000"/>
                <w:sz w:val="24"/>
                <w:szCs w:val="24"/>
                <w:lang w:eastAsia="en-IN"/>
              </w:rPr>
            </w:pPr>
            <w:r>
              <w:rPr>
                <w:rFonts w:eastAsia="Times New Roman" w:cstheme="minorHAnsi"/>
                <w:color w:val="000000"/>
                <w:sz w:val="24"/>
                <w:szCs w:val="24"/>
                <w:lang w:eastAsia="en-IN"/>
              </w:rPr>
              <w:t>2</w:t>
            </w:r>
          </w:p>
        </w:tc>
        <w:tc>
          <w:tcPr>
            <w:tcW w:w="3860" w:type="dxa"/>
            <w:tcBorders>
              <w:top w:val="nil"/>
              <w:left w:val="nil"/>
              <w:bottom w:val="single" w:sz="4" w:space="0" w:color="auto"/>
              <w:right w:val="single" w:sz="4" w:space="0" w:color="auto"/>
            </w:tcBorders>
            <w:shd w:val="clear" w:color="auto" w:fill="auto"/>
            <w:vAlign w:val="center"/>
            <w:hideMark/>
          </w:tcPr>
          <w:p w:rsidR="00013A0B" w:rsidRPr="00262069" w:rsidRDefault="00013A0B" w:rsidP="00013A0B">
            <w:pPr>
              <w:spacing w:after="0" w:line="240" w:lineRule="auto"/>
              <w:rPr>
                <w:rFonts w:eastAsia="Times New Roman" w:cstheme="minorHAnsi"/>
                <w:color w:val="000000"/>
                <w:sz w:val="24"/>
                <w:szCs w:val="24"/>
                <w:lang w:eastAsia="en-IN"/>
              </w:rPr>
            </w:pPr>
            <w:r w:rsidRPr="00013A0B">
              <w:rPr>
                <w:rFonts w:eastAsia="Times New Roman" w:cstheme="minorHAnsi"/>
                <w:color w:val="000000"/>
                <w:sz w:val="24"/>
                <w:szCs w:val="24"/>
                <w:lang w:eastAsia="en-IN"/>
              </w:rPr>
              <w:t xml:space="preserve">Impact of issues pending before Hon’ble Commission for </w:t>
            </w:r>
            <w:r>
              <w:rPr>
                <w:rFonts w:eastAsia="Times New Roman" w:cstheme="minorHAnsi"/>
                <w:color w:val="000000"/>
                <w:sz w:val="24"/>
                <w:szCs w:val="24"/>
                <w:lang w:eastAsia="en-IN"/>
              </w:rPr>
              <w:t>I</w:t>
            </w:r>
            <w:r w:rsidRPr="00013A0B">
              <w:rPr>
                <w:rFonts w:eastAsia="Times New Roman" w:cstheme="minorHAnsi"/>
                <w:color w:val="000000"/>
                <w:sz w:val="24"/>
                <w:szCs w:val="24"/>
                <w:lang w:eastAsia="en-IN"/>
              </w:rPr>
              <w:t>mplementation</w:t>
            </w:r>
          </w:p>
        </w:tc>
        <w:tc>
          <w:tcPr>
            <w:tcW w:w="1133" w:type="dxa"/>
            <w:tcBorders>
              <w:top w:val="nil"/>
              <w:left w:val="nil"/>
              <w:bottom w:val="single" w:sz="4" w:space="0" w:color="auto"/>
              <w:right w:val="single" w:sz="4" w:space="0" w:color="auto"/>
            </w:tcBorders>
            <w:shd w:val="clear" w:color="auto" w:fill="auto"/>
            <w:noWrap/>
            <w:vAlign w:val="center"/>
            <w:hideMark/>
          </w:tcPr>
          <w:p w:rsidR="00013A0B" w:rsidRPr="00262069" w:rsidRDefault="00013A0B" w:rsidP="00013A0B">
            <w:pPr>
              <w:spacing w:after="0" w:line="240" w:lineRule="auto"/>
              <w:jc w:val="center"/>
              <w:rPr>
                <w:rFonts w:eastAsia="Times New Roman" w:cstheme="minorHAnsi"/>
                <w:color w:val="000000"/>
                <w:sz w:val="24"/>
                <w:szCs w:val="24"/>
                <w:lang w:eastAsia="en-IN"/>
              </w:rPr>
            </w:pPr>
            <w:r w:rsidRPr="00262069">
              <w:rPr>
                <w:rFonts w:eastAsia="Times New Roman" w:cstheme="minorHAnsi"/>
                <w:color w:val="000000"/>
                <w:sz w:val="24"/>
                <w:szCs w:val="24"/>
                <w:lang w:eastAsia="en-IN"/>
              </w:rPr>
              <w:t>412</w:t>
            </w:r>
          </w:p>
        </w:tc>
        <w:tc>
          <w:tcPr>
            <w:tcW w:w="1048" w:type="dxa"/>
            <w:tcBorders>
              <w:top w:val="nil"/>
              <w:left w:val="nil"/>
              <w:bottom w:val="single" w:sz="4" w:space="0" w:color="auto"/>
              <w:right w:val="single" w:sz="4" w:space="0" w:color="auto"/>
            </w:tcBorders>
            <w:shd w:val="clear" w:color="auto" w:fill="auto"/>
            <w:noWrap/>
            <w:vAlign w:val="center"/>
            <w:hideMark/>
          </w:tcPr>
          <w:p w:rsidR="00013A0B" w:rsidRPr="00262069" w:rsidRDefault="00013A0B" w:rsidP="00013A0B">
            <w:pPr>
              <w:spacing w:after="0" w:line="240" w:lineRule="auto"/>
              <w:jc w:val="center"/>
              <w:rPr>
                <w:rFonts w:eastAsia="Times New Roman" w:cstheme="minorHAnsi"/>
                <w:color w:val="000000"/>
                <w:sz w:val="24"/>
                <w:szCs w:val="24"/>
                <w:lang w:eastAsia="en-IN"/>
              </w:rPr>
            </w:pPr>
            <w:r w:rsidRPr="00262069">
              <w:rPr>
                <w:rFonts w:eastAsia="Times New Roman" w:cstheme="minorHAnsi"/>
                <w:color w:val="000000"/>
                <w:sz w:val="24"/>
                <w:szCs w:val="24"/>
                <w:lang w:eastAsia="en-IN"/>
              </w:rPr>
              <w:t>1</w:t>
            </w:r>
            <w:r>
              <w:rPr>
                <w:rFonts w:eastAsia="Times New Roman" w:cstheme="minorHAnsi"/>
                <w:color w:val="000000"/>
                <w:sz w:val="24"/>
                <w:szCs w:val="24"/>
                <w:lang w:eastAsia="en-IN"/>
              </w:rPr>
              <w:t>,</w:t>
            </w:r>
            <w:r w:rsidRPr="00262069">
              <w:rPr>
                <w:rFonts w:eastAsia="Times New Roman" w:cstheme="minorHAnsi"/>
                <w:color w:val="000000"/>
                <w:sz w:val="24"/>
                <w:szCs w:val="24"/>
                <w:lang w:eastAsia="en-IN"/>
              </w:rPr>
              <w:t>421</w:t>
            </w:r>
          </w:p>
        </w:tc>
        <w:tc>
          <w:tcPr>
            <w:tcW w:w="960" w:type="dxa"/>
            <w:tcBorders>
              <w:top w:val="nil"/>
              <w:left w:val="nil"/>
              <w:bottom w:val="single" w:sz="4" w:space="0" w:color="auto"/>
              <w:right w:val="single" w:sz="4" w:space="0" w:color="auto"/>
            </w:tcBorders>
            <w:shd w:val="clear" w:color="auto" w:fill="auto"/>
            <w:noWrap/>
            <w:vAlign w:val="center"/>
            <w:hideMark/>
          </w:tcPr>
          <w:p w:rsidR="00013A0B" w:rsidRPr="00262069" w:rsidRDefault="00013A0B" w:rsidP="00013A0B">
            <w:pPr>
              <w:spacing w:after="0" w:line="240" w:lineRule="auto"/>
              <w:jc w:val="center"/>
              <w:rPr>
                <w:rFonts w:eastAsia="Times New Roman" w:cstheme="minorHAnsi"/>
                <w:color w:val="000000"/>
                <w:sz w:val="24"/>
                <w:szCs w:val="24"/>
                <w:lang w:eastAsia="en-IN"/>
              </w:rPr>
            </w:pPr>
            <w:r w:rsidRPr="00262069">
              <w:rPr>
                <w:rFonts w:eastAsia="Times New Roman" w:cstheme="minorHAnsi"/>
                <w:color w:val="000000"/>
                <w:sz w:val="24"/>
                <w:szCs w:val="24"/>
                <w:lang w:eastAsia="en-IN"/>
              </w:rPr>
              <w:t>1,833</w:t>
            </w:r>
          </w:p>
        </w:tc>
      </w:tr>
      <w:tr w:rsidR="00013A0B" w:rsidRPr="00262069" w:rsidTr="00013A0B">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13A0B" w:rsidRPr="00262069" w:rsidRDefault="008011BA" w:rsidP="00013A0B">
            <w:pPr>
              <w:spacing w:after="0" w:line="240" w:lineRule="auto"/>
              <w:jc w:val="center"/>
              <w:rPr>
                <w:rFonts w:eastAsia="Times New Roman" w:cstheme="minorHAnsi"/>
                <w:color w:val="000000"/>
                <w:sz w:val="24"/>
                <w:szCs w:val="24"/>
                <w:lang w:eastAsia="en-IN"/>
              </w:rPr>
            </w:pPr>
            <w:r>
              <w:rPr>
                <w:rFonts w:eastAsia="Times New Roman" w:cstheme="minorHAnsi"/>
                <w:color w:val="000000"/>
                <w:sz w:val="24"/>
                <w:szCs w:val="24"/>
                <w:lang w:eastAsia="en-IN"/>
              </w:rPr>
              <w:t>3</w:t>
            </w:r>
            <w:r w:rsidR="00013A0B" w:rsidRPr="00262069">
              <w:rPr>
                <w:rFonts w:eastAsia="Times New Roman" w:cstheme="minorHAnsi"/>
                <w:color w:val="000000"/>
                <w:sz w:val="24"/>
                <w:szCs w:val="24"/>
                <w:lang w:eastAsia="en-IN"/>
              </w:rPr>
              <w:t xml:space="preserve"> </w:t>
            </w:r>
          </w:p>
        </w:tc>
        <w:tc>
          <w:tcPr>
            <w:tcW w:w="3860" w:type="dxa"/>
            <w:tcBorders>
              <w:top w:val="nil"/>
              <w:left w:val="nil"/>
              <w:bottom w:val="single" w:sz="4" w:space="0" w:color="auto"/>
              <w:right w:val="single" w:sz="4" w:space="0" w:color="auto"/>
            </w:tcBorders>
            <w:shd w:val="clear" w:color="auto" w:fill="auto"/>
            <w:vAlign w:val="center"/>
            <w:hideMark/>
          </w:tcPr>
          <w:p w:rsidR="00013A0B" w:rsidRPr="00262069" w:rsidRDefault="00013A0B" w:rsidP="00013A0B">
            <w:pPr>
              <w:spacing w:after="0" w:line="240" w:lineRule="auto"/>
              <w:rPr>
                <w:rFonts w:eastAsia="Times New Roman" w:cstheme="minorHAnsi"/>
                <w:color w:val="000000"/>
                <w:sz w:val="24"/>
                <w:szCs w:val="24"/>
                <w:lang w:eastAsia="en-IN"/>
              </w:rPr>
            </w:pPr>
            <w:r w:rsidRPr="00013A0B">
              <w:rPr>
                <w:rFonts w:eastAsia="Times New Roman" w:cstheme="minorHAnsi"/>
                <w:color w:val="000000"/>
                <w:sz w:val="24"/>
                <w:szCs w:val="24"/>
                <w:lang w:eastAsia="en-IN"/>
              </w:rPr>
              <w:t>Impact of issues challenged in Appeal and pending adjudication before the Hon’ble APTEL</w:t>
            </w:r>
          </w:p>
        </w:tc>
        <w:tc>
          <w:tcPr>
            <w:tcW w:w="1133" w:type="dxa"/>
            <w:tcBorders>
              <w:top w:val="nil"/>
              <w:left w:val="nil"/>
              <w:bottom w:val="single" w:sz="4" w:space="0" w:color="auto"/>
              <w:right w:val="single" w:sz="4" w:space="0" w:color="auto"/>
            </w:tcBorders>
            <w:shd w:val="clear" w:color="auto" w:fill="auto"/>
            <w:noWrap/>
            <w:vAlign w:val="center"/>
            <w:hideMark/>
          </w:tcPr>
          <w:p w:rsidR="00013A0B" w:rsidRPr="00262069" w:rsidRDefault="00013A0B" w:rsidP="00013A0B">
            <w:pPr>
              <w:spacing w:after="0" w:line="240" w:lineRule="auto"/>
              <w:jc w:val="center"/>
              <w:rPr>
                <w:rFonts w:eastAsia="Times New Roman" w:cstheme="minorHAnsi"/>
                <w:color w:val="000000"/>
                <w:sz w:val="24"/>
                <w:szCs w:val="24"/>
                <w:lang w:eastAsia="en-IN"/>
              </w:rPr>
            </w:pPr>
            <w:r w:rsidRPr="00262069">
              <w:rPr>
                <w:rFonts w:eastAsia="Times New Roman" w:cstheme="minorHAnsi"/>
                <w:color w:val="000000"/>
                <w:sz w:val="24"/>
                <w:szCs w:val="24"/>
                <w:lang w:eastAsia="en-IN"/>
              </w:rPr>
              <w:t>1</w:t>
            </w:r>
            <w:r>
              <w:rPr>
                <w:rFonts w:eastAsia="Times New Roman" w:cstheme="minorHAnsi"/>
                <w:color w:val="000000"/>
                <w:sz w:val="24"/>
                <w:szCs w:val="24"/>
                <w:lang w:eastAsia="en-IN"/>
              </w:rPr>
              <w:t>,</w:t>
            </w:r>
            <w:r w:rsidRPr="00262069">
              <w:rPr>
                <w:rFonts w:eastAsia="Times New Roman" w:cstheme="minorHAnsi"/>
                <w:color w:val="000000"/>
                <w:sz w:val="24"/>
                <w:szCs w:val="24"/>
                <w:lang w:eastAsia="en-IN"/>
              </w:rPr>
              <w:t>869</w:t>
            </w:r>
          </w:p>
        </w:tc>
        <w:tc>
          <w:tcPr>
            <w:tcW w:w="1048" w:type="dxa"/>
            <w:tcBorders>
              <w:top w:val="nil"/>
              <w:left w:val="nil"/>
              <w:bottom w:val="single" w:sz="4" w:space="0" w:color="auto"/>
              <w:right w:val="single" w:sz="4" w:space="0" w:color="auto"/>
            </w:tcBorders>
            <w:shd w:val="clear" w:color="auto" w:fill="auto"/>
            <w:noWrap/>
            <w:vAlign w:val="center"/>
            <w:hideMark/>
          </w:tcPr>
          <w:p w:rsidR="00013A0B" w:rsidRPr="00262069" w:rsidRDefault="00013A0B" w:rsidP="00013A0B">
            <w:pPr>
              <w:spacing w:after="0" w:line="240" w:lineRule="auto"/>
              <w:jc w:val="center"/>
              <w:rPr>
                <w:rFonts w:eastAsia="Times New Roman" w:cstheme="minorHAnsi"/>
                <w:color w:val="000000"/>
                <w:sz w:val="24"/>
                <w:szCs w:val="24"/>
                <w:lang w:eastAsia="en-IN"/>
              </w:rPr>
            </w:pPr>
            <w:r w:rsidRPr="00262069">
              <w:rPr>
                <w:rFonts w:eastAsia="Times New Roman" w:cstheme="minorHAnsi"/>
                <w:color w:val="000000"/>
                <w:sz w:val="24"/>
                <w:szCs w:val="24"/>
                <w:lang w:eastAsia="en-IN"/>
              </w:rPr>
              <w:t>3</w:t>
            </w:r>
            <w:r>
              <w:rPr>
                <w:rFonts w:eastAsia="Times New Roman" w:cstheme="minorHAnsi"/>
                <w:color w:val="000000"/>
                <w:sz w:val="24"/>
                <w:szCs w:val="24"/>
                <w:lang w:eastAsia="en-IN"/>
              </w:rPr>
              <w:t>,</w:t>
            </w:r>
            <w:r w:rsidRPr="00262069">
              <w:rPr>
                <w:rFonts w:eastAsia="Times New Roman" w:cstheme="minorHAnsi"/>
                <w:color w:val="000000"/>
                <w:sz w:val="24"/>
                <w:szCs w:val="24"/>
                <w:lang w:eastAsia="en-IN"/>
              </w:rPr>
              <w:t>437</w:t>
            </w:r>
          </w:p>
        </w:tc>
        <w:tc>
          <w:tcPr>
            <w:tcW w:w="960" w:type="dxa"/>
            <w:tcBorders>
              <w:top w:val="nil"/>
              <w:left w:val="nil"/>
              <w:bottom w:val="single" w:sz="4" w:space="0" w:color="auto"/>
              <w:right w:val="single" w:sz="4" w:space="0" w:color="auto"/>
            </w:tcBorders>
            <w:shd w:val="clear" w:color="auto" w:fill="auto"/>
            <w:noWrap/>
            <w:vAlign w:val="center"/>
            <w:hideMark/>
          </w:tcPr>
          <w:p w:rsidR="00013A0B" w:rsidRPr="00262069" w:rsidRDefault="00013A0B" w:rsidP="00013A0B">
            <w:pPr>
              <w:spacing w:after="0" w:line="240" w:lineRule="auto"/>
              <w:jc w:val="center"/>
              <w:rPr>
                <w:rFonts w:eastAsia="Times New Roman" w:cstheme="minorHAnsi"/>
                <w:color w:val="000000"/>
                <w:sz w:val="24"/>
                <w:szCs w:val="24"/>
                <w:lang w:eastAsia="en-IN"/>
              </w:rPr>
            </w:pPr>
            <w:r w:rsidRPr="00262069">
              <w:rPr>
                <w:rFonts w:eastAsia="Times New Roman" w:cstheme="minorHAnsi"/>
                <w:color w:val="000000"/>
                <w:sz w:val="24"/>
                <w:szCs w:val="24"/>
                <w:lang w:eastAsia="en-IN"/>
              </w:rPr>
              <w:t>5,306</w:t>
            </w:r>
          </w:p>
        </w:tc>
      </w:tr>
      <w:tr w:rsidR="00013A0B" w:rsidRPr="00262069" w:rsidTr="00013A0B">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13A0B" w:rsidRPr="00262069" w:rsidRDefault="00013A0B" w:rsidP="00013A0B">
            <w:pPr>
              <w:spacing w:after="0" w:line="240" w:lineRule="auto"/>
              <w:jc w:val="center"/>
              <w:rPr>
                <w:rFonts w:eastAsia="Times New Roman" w:cstheme="minorHAnsi"/>
                <w:b/>
                <w:bCs/>
                <w:color w:val="000000"/>
                <w:sz w:val="24"/>
                <w:szCs w:val="24"/>
                <w:lang w:eastAsia="en-IN"/>
              </w:rPr>
            </w:pPr>
            <w:r w:rsidRPr="00262069">
              <w:rPr>
                <w:rFonts w:eastAsia="Times New Roman" w:cstheme="minorHAnsi"/>
                <w:b/>
                <w:bCs/>
                <w:color w:val="000000"/>
                <w:sz w:val="24"/>
                <w:szCs w:val="24"/>
                <w:lang w:eastAsia="en-IN"/>
              </w:rPr>
              <w:t> </w:t>
            </w:r>
          </w:p>
        </w:tc>
        <w:tc>
          <w:tcPr>
            <w:tcW w:w="3860" w:type="dxa"/>
            <w:tcBorders>
              <w:top w:val="nil"/>
              <w:left w:val="nil"/>
              <w:bottom w:val="single" w:sz="4" w:space="0" w:color="auto"/>
              <w:right w:val="single" w:sz="4" w:space="0" w:color="auto"/>
            </w:tcBorders>
            <w:shd w:val="clear" w:color="auto" w:fill="auto"/>
            <w:vAlign w:val="center"/>
            <w:hideMark/>
          </w:tcPr>
          <w:p w:rsidR="00013A0B" w:rsidRPr="00262069" w:rsidRDefault="00013A0B" w:rsidP="00013A0B">
            <w:pPr>
              <w:spacing w:after="0" w:line="240" w:lineRule="auto"/>
              <w:rPr>
                <w:rFonts w:eastAsia="Times New Roman" w:cstheme="minorHAnsi"/>
                <w:b/>
                <w:bCs/>
                <w:color w:val="000000"/>
                <w:sz w:val="24"/>
                <w:szCs w:val="24"/>
                <w:lang w:eastAsia="en-IN"/>
              </w:rPr>
            </w:pPr>
            <w:r w:rsidRPr="00262069">
              <w:rPr>
                <w:rFonts w:eastAsia="Times New Roman" w:cstheme="minorHAnsi"/>
                <w:b/>
                <w:bCs/>
                <w:color w:val="000000"/>
                <w:sz w:val="24"/>
                <w:szCs w:val="24"/>
                <w:lang w:eastAsia="en-IN"/>
              </w:rPr>
              <w:t>Total</w:t>
            </w:r>
            <w:r w:rsidR="008011BA">
              <w:rPr>
                <w:rFonts w:eastAsia="Times New Roman" w:cstheme="minorHAnsi"/>
                <w:b/>
                <w:bCs/>
                <w:color w:val="000000"/>
                <w:sz w:val="24"/>
                <w:szCs w:val="24"/>
                <w:lang w:eastAsia="en-IN"/>
              </w:rPr>
              <w:t xml:space="preserve"> (1A+1B+2+3)</w:t>
            </w:r>
          </w:p>
        </w:tc>
        <w:tc>
          <w:tcPr>
            <w:tcW w:w="1133" w:type="dxa"/>
            <w:tcBorders>
              <w:top w:val="nil"/>
              <w:left w:val="nil"/>
              <w:bottom w:val="single" w:sz="4" w:space="0" w:color="auto"/>
              <w:right w:val="single" w:sz="4" w:space="0" w:color="auto"/>
            </w:tcBorders>
            <w:shd w:val="clear" w:color="auto" w:fill="auto"/>
            <w:noWrap/>
            <w:vAlign w:val="center"/>
            <w:hideMark/>
          </w:tcPr>
          <w:p w:rsidR="00013A0B" w:rsidRPr="00262069" w:rsidRDefault="00013A0B" w:rsidP="00013A0B">
            <w:pPr>
              <w:spacing w:after="0" w:line="240" w:lineRule="auto"/>
              <w:jc w:val="center"/>
              <w:rPr>
                <w:rFonts w:eastAsia="Times New Roman" w:cstheme="minorHAnsi"/>
                <w:b/>
                <w:bCs/>
                <w:color w:val="000000"/>
                <w:sz w:val="24"/>
                <w:szCs w:val="24"/>
                <w:lang w:eastAsia="en-IN"/>
              </w:rPr>
            </w:pPr>
            <w:r w:rsidRPr="00262069">
              <w:rPr>
                <w:rFonts w:eastAsia="Times New Roman" w:cstheme="minorHAnsi"/>
                <w:b/>
                <w:bCs/>
                <w:color w:val="000000"/>
                <w:sz w:val="24"/>
                <w:szCs w:val="24"/>
                <w:lang w:eastAsia="en-IN"/>
              </w:rPr>
              <w:t>7,191</w:t>
            </w:r>
          </w:p>
        </w:tc>
        <w:tc>
          <w:tcPr>
            <w:tcW w:w="1048" w:type="dxa"/>
            <w:tcBorders>
              <w:top w:val="nil"/>
              <w:left w:val="nil"/>
              <w:bottom w:val="single" w:sz="4" w:space="0" w:color="auto"/>
              <w:right w:val="single" w:sz="4" w:space="0" w:color="auto"/>
            </w:tcBorders>
            <w:shd w:val="clear" w:color="auto" w:fill="auto"/>
            <w:noWrap/>
            <w:vAlign w:val="center"/>
            <w:hideMark/>
          </w:tcPr>
          <w:p w:rsidR="00013A0B" w:rsidRPr="00262069" w:rsidRDefault="00013A0B" w:rsidP="00013A0B">
            <w:pPr>
              <w:spacing w:after="0" w:line="240" w:lineRule="auto"/>
              <w:jc w:val="center"/>
              <w:rPr>
                <w:rFonts w:eastAsia="Times New Roman" w:cstheme="minorHAnsi"/>
                <w:b/>
                <w:bCs/>
                <w:color w:val="000000"/>
                <w:sz w:val="24"/>
                <w:szCs w:val="24"/>
                <w:lang w:eastAsia="en-IN"/>
              </w:rPr>
            </w:pPr>
            <w:r w:rsidRPr="00262069">
              <w:rPr>
                <w:rFonts w:eastAsia="Times New Roman" w:cstheme="minorHAnsi"/>
                <w:b/>
                <w:bCs/>
                <w:color w:val="000000"/>
                <w:sz w:val="24"/>
                <w:szCs w:val="24"/>
                <w:lang w:eastAsia="en-IN"/>
              </w:rPr>
              <w:t>12,457</w:t>
            </w:r>
          </w:p>
        </w:tc>
        <w:tc>
          <w:tcPr>
            <w:tcW w:w="960" w:type="dxa"/>
            <w:tcBorders>
              <w:top w:val="nil"/>
              <w:left w:val="nil"/>
              <w:bottom w:val="single" w:sz="4" w:space="0" w:color="auto"/>
              <w:right w:val="single" w:sz="4" w:space="0" w:color="auto"/>
            </w:tcBorders>
            <w:shd w:val="clear" w:color="auto" w:fill="auto"/>
            <w:noWrap/>
            <w:vAlign w:val="center"/>
            <w:hideMark/>
          </w:tcPr>
          <w:p w:rsidR="00013A0B" w:rsidRPr="00262069" w:rsidRDefault="00013A0B" w:rsidP="00013A0B">
            <w:pPr>
              <w:spacing w:after="0" w:line="240" w:lineRule="auto"/>
              <w:jc w:val="center"/>
              <w:rPr>
                <w:rFonts w:eastAsia="Times New Roman" w:cstheme="minorHAnsi"/>
                <w:b/>
                <w:bCs/>
                <w:color w:val="000000"/>
                <w:sz w:val="24"/>
                <w:szCs w:val="24"/>
                <w:lang w:eastAsia="en-IN"/>
              </w:rPr>
            </w:pPr>
            <w:r w:rsidRPr="00262069">
              <w:rPr>
                <w:rFonts w:eastAsia="Times New Roman" w:cstheme="minorHAnsi"/>
                <w:b/>
                <w:bCs/>
                <w:color w:val="000000"/>
                <w:sz w:val="24"/>
                <w:szCs w:val="24"/>
                <w:lang w:eastAsia="en-IN"/>
              </w:rPr>
              <w:t>19,647</w:t>
            </w:r>
          </w:p>
        </w:tc>
      </w:tr>
    </w:tbl>
    <w:p w:rsidR="00262069" w:rsidRPr="00AE0294" w:rsidRDefault="00262069" w:rsidP="00262069">
      <w:pPr>
        <w:pStyle w:val="ARRB11"/>
        <w:numPr>
          <w:ilvl w:val="0"/>
          <w:numId w:val="0"/>
        </w:numPr>
        <w:ind w:left="990"/>
        <w:rPr>
          <w:szCs w:val="24"/>
        </w:rPr>
      </w:pPr>
    </w:p>
    <w:p w:rsidR="00EE128B" w:rsidRPr="00EE128B" w:rsidRDefault="00EE128B" w:rsidP="007D37C9">
      <w:pPr>
        <w:pStyle w:val="ARRB11"/>
        <w:numPr>
          <w:ilvl w:val="1"/>
          <w:numId w:val="2"/>
        </w:numPr>
        <w:tabs>
          <w:tab w:val="clear" w:pos="1440"/>
        </w:tabs>
        <w:ind w:left="993" w:hanging="993"/>
        <w:rPr>
          <w:szCs w:val="24"/>
        </w:rPr>
      </w:pPr>
      <w:r w:rsidRPr="00EE128B">
        <w:rPr>
          <w:szCs w:val="24"/>
        </w:rPr>
        <w:t xml:space="preserve">As per National Tariff Policy, uncontrollable cost should be recovered speedily to ensure that future consumers are not burdened with past cost. Further, the recovery of outstanding Regulatory Assets along with carrying cost of Regulatory Assets should be time </w:t>
      </w:r>
      <w:r>
        <w:rPr>
          <w:szCs w:val="24"/>
        </w:rPr>
        <w:t>bound manner.</w:t>
      </w:r>
      <w:r w:rsidRPr="00EE128B">
        <w:rPr>
          <w:szCs w:val="24"/>
        </w:rPr>
        <w:t xml:space="preserve"> </w:t>
      </w:r>
    </w:p>
    <w:p w:rsidR="00EE128B" w:rsidRDefault="00EE128B" w:rsidP="007D37C9">
      <w:pPr>
        <w:pStyle w:val="ARRB11"/>
        <w:numPr>
          <w:ilvl w:val="1"/>
          <w:numId w:val="2"/>
        </w:numPr>
        <w:tabs>
          <w:tab w:val="clear" w:pos="1440"/>
        </w:tabs>
        <w:ind w:left="993" w:hanging="993"/>
        <w:rPr>
          <w:szCs w:val="24"/>
        </w:rPr>
      </w:pPr>
      <w:r>
        <w:rPr>
          <w:szCs w:val="24"/>
        </w:rPr>
        <w:t>Ministry of Power, GOI</w:t>
      </w:r>
      <w:r w:rsidRPr="00EE128B">
        <w:rPr>
          <w:szCs w:val="24"/>
        </w:rPr>
        <w:t xml:space="preserve"> while recognising Distribution Sector as the crucial element of the entire electricity value chain, has been time and again emphasising on recovery of RA in a time bound manner and has been issuing suitable directions to the SERCs (including DERC) in this regard. </w:t>
      </w:r>
      <w:r>
        <w:rPr>
          <w:szCs w:val="24"/>
        </w:rPr>
        <w:t xml:space="preserve">The </w:t>
      </w:r>
      <w:r w:rsidRPr="00EE128B">
        <w:rPr>
          <w:szCs w:val="24"/>
        </w:rPr>
        <w:t xml:space="preserve">National Tariff Policies also mandate </w:t>
      </w:r>
      <w:r w:rsidRPr="00EE128B">
        <w:rPr>
          <w:szCs w:val="24"/>
        </w:rPr>
        <w:lastRenderedPageBreak/>
        <w:t xml:space="preserve">for recovery of RA in a time bound manner i.e. within a period not exceeding 3 years (NTP 2006) and 7 years (NTP 2016).  </w:t>
      </w:r>
      <w:r w:rsidRPr="00AE0294">
        <w:rPr>
          <w:szCs w:val="24"/>
        </w:rPr>
        <w:t xml:space="preserve">This has also been upheld by the Hon’ble APTEL in its Judgment </w:t>
      </w:r>
      <w:r>
        <w:rPr>
          <w:szCs w:val="24"/>
        </w:rPr>
        <w:t xml:space="preserve">in </w:t>
      </w:r>
      <w:r w:rsidRPr="00AE0294">
        <w:rPr>
          <w:szCs w:val="24"/>
        </w:rPr>
        <w:t xml:space="preserve">OP 1 of 2011 dated 11.11.2011. </w:t>
      </w:r>
    </w:p>
    <w:p w:rsidR="00EE128B" w:rsidRPr="00EE128B" w:rsidRDefault="00EE128B" w:rsidP="007D37C9">
      <w:pPr>
        <w:pStyle w:val="ARRB11"/>
        <w:numPr>
          <w:ilvl w:val="1"/>
          <w:numId w:val="2"/>
        </w:numPr>
        <w:tabs>
          <w:tab w:val="clear" w:pos="1440"/>
        </w:tabs>
        <w:ind w:left="993" w:hanging="993"/>
        <w:rPr>
          <w:szCs w:val="24"/>
        </w:rPr>
      </w:pPr>
      <w:r>
        <w:rPr>
          <w:szCs w:val="24"/>
        </w:rPr>
        <w:t>Further, t</w:t>
      </w:r>
      <w:r w:rsidRPr="00EE128B">
        <w:rPr>
          <w:szCs w:val="24"/>
        </w:rPr>
        <w:t>a</w:t>
      </w:r>
      <w:r>
        <w:rPr>
          <w:szCs w:val="24"/>
        </w:rPr>
        <w:t>king cognizance of the above, Ministry of Power, GOI</w:t>
      </w:r>
      <w:r w:rsidRPr="00EE128B">
        <w:rPr>
          <w:szCs w:val="24"/>
        </w:rPr>
        <w:t xml:space="preserve"> has recently issued two communications dated 09.11.2022 and 11.11.2022 to all SERCs directing them to comply with the provisions of the Electricity Act and Tariff Policy, and directions of APTEL and principles laid down by t</w:t>
      </w:r>
      <w:r>
        <w:rPr>
          <w:szCs w:val="24"/>
        </w:rPr>
        <w:t xml:space="preserve">he Hon’ble Supreme Court in its various </w:t>
      </w:r>
      <w:r w:rsidRPr="00EE128B">
        <w:rPr>
          <w:szCs w:val="24"/>
        </w:rPr>
        <w:t>Judg</w:t>
      </w:r>
      <w:r>
        <w:rPr>
          <w:szCs w:val="24"/>
        </w:rPr>
        <w:t>ments including dated 01.12.2021 and 18.10.2022.</w:t>
      </w:r>
      <w:r w:rsidRPr="00EE128B">
        <w:rPr>
          <w:szCs w:val="24"/>
        </w:rPr>
        <w:t xml:space="preserve"> </w:t>
      </w:r>
    </w:p>
    <w:p w:rsidR="00F9628B" w:rsidRPr="00AE0294" w:rsidRDefault="00FB237D" w:rsidP="007D37C9">
      <w:pPr>
        <w:pStyle w:val="ARRB11"/>
        <w:numPr>
          <w:ilvl w:val="1"/>
          <w:numId w:val="2"/>
        </w:numPr>
        <w:tabs>
          <w:tab w:val="clear" w:pos="1440"/>
        </w:tabs>
        <w:ind w:left="993" w:hanging="993"/>
        <w:rPr>
          <w:szCs w:val="24"/>
        </w:rPr>
      </w:pPr>
      <w:r>
        <w:rPr>
          <w:szCs w:val="24"/>
        </w:rPr>
        <w:t>In view of the above, w</w:t>
      </w:r>
      <w:r w:rsidR="0050504A" w:rsidRPr="00AE0294">
        <w:rPr>
          <w:szCs w:val="24"/>
        </w:rPr>
        <w:t xml:space="preserve">e request the Hon’ble Commission to recognise the Regulatory Assets </w:t>
      </w:r>
      <w:r>
        <w:rPr>
          <w:szCs w:val="24"/>
        </w:rPr>
        <w:t>alongwith carrying cost as per the directions of the Hon’ble Supreme Court and Hon’ble APTEL and provide a suitable amortisation plan for recovery of the same in a time bound manner.</w:t>
      </w:r>
    </w:p>
    <w:sectPr w:rsidR="00F9628B" w:rsidRPr="00AE0294" w:rsidSect="007D37C9">
      <w:pgSz w:w="11906" w:h="16838"/>
      <w:pgMar w:top="1440" w:right="1440" w:bottom="1440" w:left="1418" w:header="708" w:footer="0" w:gutter="0"/>
      <w:pgNumType w:start="225"/>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3A5B" w:rsidRDefault="00693A5B" w:rsidP="00E71CE9">
      <w:pPr>
        <w:spacing w:after="0" w:line="240" w:lineRule="auto"/>
      </w:pPr>
      <w:r>
        <w:separator/>
      </w:r>
    </w:p>
  </w:endnote>
  <w:endnote w:type="continuationSeparator" w:id="0">
    <w:p w:rsidR="00693A5B" w:rsidRDefault="00693A5B" w:rsidP="00E71C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390" w:rsidRDefault="007A339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876" w:rsidRDefault="0008574F" w:rsidP="00D43876">
    <w:pPr>
      <w:pStyle w:val="Footer"/>
    </w:pPr>
    <w:r>
      <w:rPr>
        <w:noProof/>
        <w:lang w:eastAsia="en-IN"/>
      </w:rPr>
      <mc:AlternateContent>
        <mc:Choice Requires="wpg">
          <w:drawing>
            <wp:anchor distT="0" distB="0" distL="0" distR="0" simplePos="0" relativeHeight="251673600" behindDoc="0" locked="0" layoutInCell="1" allowOverlap="1" wp14:anchorId="79D3A5FD" wp14:editId="4793DFDF">
              <wp:simplePos x="0" y="0"/>
              <wp:positionH relativeFrom="margin">
                <wp:posOffset>-32385</wp:posOffset>
              </wp:positionH>
              <wp:positionV relativeFrom="bottomMargin">
                <wp:posOffset>3810</wp:posOffset>
              </wp:positionV>
              <wp:extent cx="5800725" cy="466090"/>
              <wp:effectExtent l="0" t="3810" r="3810" b="0"/>
              <wp:wrapSquare wrapText="bothSides"/>
              <wp:docPr id="10"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0725" cy="466090"/>
                        <a:chOff x="0" y="0"/>
                        <a:chExt cx="59626" cy="2756"/>
                      </a:xfrm>
                    </wpg:grpSpPr>
                    <wps:wsp>
                      <wps:cNvPr id="11" name="Rectangle 38"/>
                      <wps:cNvSpPr>
                        <a:spLocks noChangeArrowheads="1"/>
                      </wps:cNvSpPr>
                      <wps:spPr bwMode="auto">
                        <a:xfrm>
                          <a:off x="190" y="0"/>
                          <a:ext cx="59436" cy="188"/>
                        </a:xfrm>
                        <a:prstGeom prst="rect">
                          <a:avLst/>
                        </a:prstGeom>
                        <a:solidFill>
                          <a:schemeClr val="tx1">
                            <a:lumMod val="100000"/>
                            <a:lumOff val="0"/>
                          </a:schemeClr>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14" name="Text Box 39"/>
                      <wps:cNvSpPr txBox="1">
                        <a:spLocks noChangeArrowheads="1"/>
                      </wps:cNvSpPr>
                      <wps:spPr bwMode="auto">
                        <a:xfrm>
                          <a:off x="0" y="184"/>
                          <a:ext cx="49728" cy="25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D43876" w:rsidRDefault="00D43876" w:rsidP="00D43876">
                            <w:pPr>
                              <w:rPr>
                                <w:b/>
                                <w:color w:val="002060"/>
                              </w:rPr>
                            </w:pPr>
                            <w:r w:rsidRPr="009F6737">
                              <w:rPr>
                                <w:b/>
                                <w:color w:val="002060"/>
                              </w:rPr>
                              <w:t>Pe</w:t>
                            </w:r>
                            <w:r>
                              <w:rPr>
                                <w:b/>
                                <w:color w:val="002060"/>
                              </w:rPr>
                              <w:t xml:space="preserve">tition for Truing-up upto FY 2019-20 </w:t>
                            </w:r>
                          </w:p>
                          <w:p w:rsidR="00D43876" w:rsidRPr="009F6737" w:rsidRDefault="00D43876" w:rsidP="00D43876">
                            <w:pPr>
                              <w:rPr>
                                <w:b/>
                                <w:color w:val="002060"/>
                              </w:rPr>
                            </w:pPr>
                          </w:p>
                          <w:p w:rsidR="00D43876" w:rsidRPr="0035133D" w:rsidRDefault="00D43876" w:rsidP="00D43876"/>
                        </w:txbxContent>
                      </wps:txbx>
                      <wps:bodyPr rot="0" vert="horz" wrap="square" lIns="91440" tIns="45720" rIns="91440" bIns="0" anchor="b"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9D3A5FD" id="Group 57" o:spid="_x0000_s1038" style="position:absolute;margin-left:-2.55pt;margin-top:.3pt;width:456.75pt;height:36.7pt;z-index:251673600;mso-wrap-distance-left:0;mso-wrap-distance-right:0;mso-position-horizontal-relative:margin;mso-position-vertical-relative:bottom-margin-area;mso-width-relative:margin;mso-height-relative:margin" coordsize="59626,27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SzQoQMAALkKAAAOAAAAZHJzL2Uyb0RvYy54bWzMVtlu3DYUfS/QfyD4LmsZSiMJlgN7FqOA&#10;2wZZPoAjUQsikQrJscYp+u+9JEfjsVO0jZMUmQeNuF2de+49R7p8dRh6dM+k6gQvcHgRYMR4KaqO&#10;NwV+/27rpRgpTXlFe8FZgR+Ywq+ufv7pchpzFolW9BWTCIJwlU9jgVutx9z3VdmygaoLMTIOi7WQ&#10;A9UwlI1fSTpB9KH3oyBI/EnIapSiZErB7Not4isbv65ZqX+va8U06gsM2LS9Snvdmat/dUnzRtKx&#10;7cojDPoCFAPtODz0FGpNNUV72X0WauhKKZSo9UUpBl/UdVcymwNkEwbPsrmVYj/aXJp8asYTTUDt&#10;M55eHLb87f61RF0FtQN6OB2gRvaxKF4acqaxyWHPrRzfjq+lyxBu70T5QcGy/3zdjBu3Ge2mX0UF&#10;8eheC0vOoZaDCQFpo4OtwcOpBuygUQmTcRoEyyjGqIQ1kiRBdixS2UIlPztWtpv5YJZEiTsWLePE&#10;gPdp7h5pYR5hmZyg19Qjnerr6Hzb0pHZKilD1UxnONP5BpqQ8qZnaJE6Su2+mU/lyERcrFrYxq6l&#10;FFPLaAWwQpuFwQuB3QEzUFCKf2U3BOLQ3/CbkcWRpjC1eE4s0XyUSt8yMSBzU2AJyG3h6P2d0o7Q&#10;eYupoxJ9V227vrcDI1m26iW6pyA2fQjt0X4/QBe4uTAwP5MTzWHe1NPutVMAw6rehLClexK95+YQ&#10;F+ZpDoibgbYBaGbNNJBV3B9ZGJHgJsq8bZIuPbIlsZctg9QLwuwmSwKSkfX2TwMuJHnbVRXjdx1n&#10;s/pD8t/a4ehDTrdW/2gqcBQTyNDgeQJfyWZ3osaycMr5nMOh0+CGfTcUGGRw4sp0w4ZXljdNu97d&#10;+0/xW86AhPnf0gKN79rFdf1OVA/QOlJAcaE7wLfhphXyE0YTeGCB1cc9lQyj/hcO7ZeFhBjTtAMS&#10;LyMYyPOV3fkK5SWEKnCpJUZusNLOavej7JoWnuV6gotrsIS6sy1lEDpcgNwMQJr/l0bJrNF3pntu&#10;xAEtsmcSRfoA8zPy7yVWJ9UwJU4cBo0xQ5ItI3iBGiuMgH7rBrOnfbFaT+IB8X2JmoJsk25S4pEo&#10;2XgkWK+96+2KeMk2XMbrxXq1WodP1WQ0+vVq+mcNbe3vSMiZ1M5E4YwJbMWK4kcxiGQR/7j+oA+7&#10;g/0YsK32qMxv7RjQ7rNb7Obbl3uFfbvD95F1vuO3nPkAOx9bb3n84rz6CwAA//8DAFBLAwQUAAYA&#10;CAAAACEAq4gGEN4AAAAGAQAADwAAAGRycy9kb3ducmV2LnhtbEyOwU7DMBBE70j8g7VI3Fo70JYS&#10;4lRVBZyqSrRIiNs23iZR43UUu0n695gTHEczevOy1Wgb0VPna8cakqkCQVw4U3Op4fPwNlmC8AHZ&#10;YOOYNFzJwyq/vckwNW7gD+r3oRQRwj5FDVUIbSqlLyqy6KeuJY7dyXUWQ4xdKU2HQ4TbRj4otZAW&#10;a44PFba0qag47y9Ww/uAw/oxee2359Pm+n2Y7762CWl9fzeuX0AEGsPfGH71ozrk0enoLmy8aDRM&#10;5klcaliAiO2zWs5AHDU8zRTIPJP/9fMfAAAA//8DAFBLAQItABQABgAIAAAAIQC2gziS/gAAAOEB&#10;AAATAAAAAAAAAAAAAAAAAAAAAABbQ29udGVudF9UeXBlc10ueG1sUEsBAi0AFAAGAAgAAAAhADj9&#10;If/WAAAAlAEAAAsAAAAAAAAAAAAAAAAALwEAAF9yZWxzLy5yZWxzUEsBAi0AFAAGAAgAAAAhAE5d&#10;LNChAwAAuQoAAA4AAAAAAAAAAAAAAAAALgIAAGRycy9lMm9Eb2MueG1sUEsBAi0AFAAGAAgAAAAh&#10;AKuIBhDeAAAABgEAAA8AAAAAAAAAAAAAAAAA+wUAAGRycy9kb3ducmV2LnhtbFBLBQYAAAAABAAE&#10;APMAAAAGBwAAAAA=&#10;">
              <v:rect id="Rectangle 38" o:spid="_x0000_s1039"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lk9wQAAANsAAAAPAAAAZHJzL2Rvd25yZXYueG1sRE/JasMw&#10;EL0H+g9iAr0lslMIrRslhBJDT4W4JvQ4WFPL2BoZS17691Wg0Ns83jqH02I7MdHgG8cK0m0Cgrhy&#10;uuFaQfmZb55B+ICssXNMCn7Iw+n4sDpgpt3MV5qKUIsYwj5DBSaEPpPSV4Ys+q3riSP37QaLIcKh&#10;lnrAOYbbTu6SZC8tNhwbDPb0Zqhqi9EqqL/yy7S0htzVPxVj27+UHzet1ON6Ob+CCLSEf/Gf+13H&#10;+Sncf4kHyOMvAAAA//8DAFBLAQItABQABgAIAAAAIQDb4fbL7gAAAIUBAAATAAAAAAAAAAAAAAAA&#10;AAAAAABbQ29udGVudF9UeXBlc10ueG1sUEsBAi0AFAAGAAgAAAAhAFr0LFu/AAAAFQEAAAsAAAAA&#10;AAAAAAAAAAAAHwEAAF9yZWxzLy5yZWxzUEsBAi0AFAAGAAgAAAAhAJNqWT3BAAAA2wAAAA8AAAAA&#10;AAAAAAAAAAAABwIAAGRycy9kb3ducmV2LnhtbFBLBQYAAAAAAwADALcAAAD1AgAAAAA=&#10;" fillcolor="black [3213]" stroked="f" strokeweight="2pt"/>
              <v:shapetype id="_x0000_t202" coordsize="21600,21600" o:spt="202" path="m,l,21600r21600,l21600,xe">
                <v:stroke joinstyle="miter"/>
                <v:path gradientshapeok="t" o:connecttype="rect"/>
              </v:shapetype>
              <v:shape id="Text Box 39" o:spid="_x0000_s1040" type="#_x0000_t202" style="position:absolute;top:184;width:49728;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U2MwgAAANsAAAAPAAAAZHJzL2Rvd25yZXYueG1sRE9Na8JA&#10;EL0X/A/LCL3VjWkRSd0EEcSehFo99DZkx2w0Oxt2N5r213cLhd7m8T5nVY22EzfyoXWsYD7LQBDX&#10;TrfcKDh+bJ+WIEJE1tg5JgVfFKAqJw8rLLS78zvdDrERKYRDgQpMjH0hZagNWQwz1xMn7uy8xZig&#10;b6T2eE/htpN5li2kxZZTg8GeNobq62GwCvxpn683l8/TkO/kd2OOw7Ne7JV6nI7rVxCRxvgv/nO/&#10;6TT/BX5/SQfI8gcAAP//AwBQSwECLQAUAAYACAAAACEA2+H2y+4AAACFAQAAEwAAAAAAAAAAAAAA&#10;AAAAAAAAW0NvbnRlbnRfVHlwZXNdLnhtbFBLAQItABQABgAIAAAAIQBa9CxbvwAAABUBAAALAAAA&#10;AAAAAAAAAAAAAB8BAABfcmVscy8ucmVsc1BLAQItABQABgAIAAAAIQBAMU2MwgAAANsAAAAPAAAA&#10;AAAAAAAAAAAAAAcCAABkcnMvZG93bnJldi54bWxQSwUGAAAAAAMAAwC3AAAA9gIAAAAA&#10;" filled="f" stroked="f" strokeweight=".5pt">
                <v:textbox inset=",,,0">
                  <w:txbxContent>
                    <w:p w:rsidR="00D43876" w:rsidRDefault="00D43876" w:rsidP="00D43876">
                      <w:pPr>
                        <w:rPr>
                          <w:b/>
                          <w:color w:val="002060"/>
                        </w:rPr>
                      </w:pPr>
                      <w:r w:rsidRPr="009F6737">
                        <w:rPr>
                          <w:b/>
                          <w:color w:val="002060"/>
                        </w:rPr>
                        <w:t>Pe</w:t>
                      </w:r>
                      <w:r>
                        <w:rPr>
                          <w:b/>
                          <w:color w:val="002060"/>
                        </w:rPr>
                        <w:t xml:space="preserve">tition for Truing-up upto FY 2019-20 </w:t>
                      </w:r>
                    </w:p>
                    <w:p w:rsidR="00D43876" w:rsidRPr="009F6737" w:rsidRDefault="00D43876" w:rsidP="00D43876">
                      <w:pPr>
                        <w:rPr>
                          <w:b/>
                          <w:color w:val="002060"/>
                        </w:rPr>
                      </w:pPr>
                    </w:p>
                    <w:p w:rsidR="00D43876" w:rsidRPr="0035133D" w:rsidRDefault="00D43876" w:rsidP="00D43876"/>
                  </w:txbxContent>
                </v:textbox>
              </v:shape>
              <w10:wrap type="square" anchorx="margin" anchory="margin"/>
            </v:group>
          </w:pict>
        </mc:Fallback>
      </mc:AlternateContent>
    </w:r>
    <w:r>
      <w:rPr>
        <w:noProof/>
        <w:lang w:eastAsia="en-IN"/>
      </w:rPr>
      <mc:AlternateContent>
        <mc:Choice Requires="wps">
          <w:drawing>
            <wp:anchor distT="0" distB="0" distL="0" distR="0" simplePos="0" relativeHeight="251672576" behindDoc="0" locked="0" layoutInCell="1" allowOverlap="1" wp14:anchorId="0F00411C" wp14:editId="17CE9382">
              <wp:simplePos x="0" y="0"/>
              <wp:positionH relativeFrom="rightMargin">
                <wp:posOffset>-169545</wp:posOffset>
              </wp:positionH>
              <wp:positionV relativeFrom="bottomMargin">
                <wp:posOffset>-6350</wp:posOffset>
              </wp:positionV>
              <wp:extent cx="628650" cy="320040"/>
              <wp:effectExtent l="0" t="0" r="0" b="0"/>
              <wp:wrapSquare wrapText="bothSides"/>
              <wp:docPr id="6"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D43876" w:rsidRDefault="00D43876" w:rsidP="00D43876">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 xml:space="preserve"> PAGE   \* MERGEFORMAT </w:instrText>
                          </w:r>
                          <w:r>
                            <w:rPr>
                              <w:color w:val="FFFFFF" w:themeColor="background1"/>
                              <w:sz w:val="28"/>
                              <w:szCs w:val="28"/>
                            </w:rPr>
                            <w:fldChar w:fldCharType="separate"/>
                          </w:r>
                          <w:r w:rsidR="00410A75">
                            <w:rPr>
                              <w:noProof/>
                              <w:color w:val="FFFFFF" w:themeColor="background1"/>
                              <w:sz w:val="28"/>
                              <w:szCs w:val="28"/>
                            </w:rPr>
                            <w:t>242</w:t>
                          </w:r>
                          <w:r>
                            <w:rPr>
                              <w:noProof/>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00411C" id="Rectangle 60" o:spid="_x0000_s1041" style="position:absolute;margin-left:-13.35pt;margin-top:-.5pt;width:49.5pt;height:25.2pt;z-index:251672576;visibility:visible;mso-wrap-style:square;mso-width-percent:0;mso-height-percent:0;mso-wrap-distance-left:0;mso-wrap-distance-top:0;mso-wrap-distance-right:0;mso-wrap-distance-bottom:0;mso-position-horizontal:absolute;mso-position-horizontal-relative:right-margin-area;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QOurgIAALcFAAAOAAAAZHJzL2Uyb0RvYy54bWysVE1v2zAMvQ/YfxB0Xx2nbdYZdYqgRYcB&#10;QVe0HXpWZCk2JouapMTOfv0oyXazrrsM88GQRPKRfPy4vOpbRfbCugZ0SfOTGSVCc6gavS3pt6fb&#10;DxeUOM90xRRoUdKDcPRq+f7dZWcKMYcaVCUsQRDtis6UtPbeFFnmeC1a5k7ACI1CCbZlHq92m1WW&#10;dYjeqmw+my2yDmxlLHDhHL7eJCFdRnwpBfdfpXTCE1VSjM3Hv43/Tfhny0tWbC0zdcOHMNg/RNGy&#10;RqPTCeqGeUZ2tvkDqm24BQfSn3BoM5Cy4SLmgNnks1fZPNbMiJgLkuPMRJP7f7D8bn9vSVOVdEGJ&#10;Zi2W6AFJY3qrBFlEfjrjClR7NPc2ZOjMGvh3h8Rlv0nCxQ06vbRt0MX8SB/JPkxki94Tjo+L+cXi&#10;HEvCUXSKpTyLzjJWjMbGOv9ZQEvCoaQWw4oUs/3a+eCeFaNKjAtUU902SsVL6B9xrSzZM6y87/NQ&#10;abRwx1pKkw6dX+SzWUTWEOyTotJDgimnmJ0/KBHQlX4QEknDLObRMLbrizvGudA+T6KaVSJFcT7D&#10;b4xjDDBGFQEDskT/E/YAMGomkBE7RTnoB1MRu30yThn9JbBkPFlEz6D9ZNw2GuxbmSnMavCc9EeS&#10;EjWBJd9v+thQp0EzvGygOmCTWUjT5wy/bbCka+b8PbM4btgFuEL8V/xJBVgSGE6U1GB/vvUe9HEK&#10;UEpJh+NbUvdjx6ygRH3ROB+f8jNsKOLj5ez84xwv9liyOZboXXsN2Cc5LivD4zHoezUepYX2GTfN&#10;KnhFEdMcfZd0Mx6vfVoquKm4WK2iEk64YX6tHw0P0IHl0LBP/TOzZuhqj+NwB+Ogs+JVcyfdYKlh&#10;tfMgm9j5L6wO/ON2iI00bLKwfo7vUetl3y5/AQAA//8DAFBLAwQUAAYACAAAACEALGcnN9sAAAAI&#10;AQAADwAAAGRycy9kb3ducmV2LnhtbEyPwW6DMAyG75P2DpEn7daGsqqljFBNk3Zvu+5uSAqIxEEk&#10;FPb2807bzZY//f7+4rg4K+5mDJ0nBZt1AsJQ7XVHjYLr58cqAxEikkbrySj4NgGO5eNDgbn2M53N&#10;/RIbwSEUclTQxjjkUoa6NQ7D2g+G+Hbzo8PI69hIPeLM4c7KNEl20mFH/KHFwby3pu4vk1OQHexU&#10;9fMX6lN9o+x0nrM+bZR6flreXkFEs8Q/GH71WR1Kdqr8RDoIq2CV7vaM8rDhTgzs0xcQlYLtYQuy&#10;LOT/AuUPAAAA//8DAFBLAQItABQABgAIAAAAIQC2gziS/gAAAOEBAAATAAAAAAAAAAAAAAAAAAAA&#10;AABbQ29udGVudF9UeXBlc10ueG1sUEsBAi0AFAAGAAgAAAAhADj9If/WAAAAlAEAAAsAAAAAAAAA&#10;AAAAAAAALwEAAF9yZWxzLy5yZWxzUEsBAi0AFAAGAAgAAAAhANOFA66uAgAAtwUAAA4AAAAAAAAA&#10;AAAAAAAALgIAAGRycy9lMm9Eb2MueG1sUEsBAi0AFAAGAAgAAAAhACxnJzfbAAAACAEAAA8AAAAA&#10;AAAAAAAAAAAACAUAAGRycy9kb3ducmV2LnhtbFBLBQYAAAAABAAEAPMAAAAQBgAAAAA=&#10;" fillcolor="black [3213]" stroked="f" strokeweight="3pt">
              <v:path arrowok="t"/>
              <v:textbox>
                <w:txbxContent>
                  <w:p w:rsidR="00D43876" w:rsidRDefault="00D43876" w:rsidP="00D43876">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 xml:space="preserve"> PAGE   \* MERGEFORMAT </w:instrText>
                    </w:r>
                    <w:r>
                      <w:rPr>
                        <w:color w:val="FFFFFF" w:themeColor="background1"/>
                        <w:sz w:val="28"/>
                        <w:szCs w:val="28"/>
                      </w:rPr>
                      <w:fldChar w:fldCharType="separate"/>
                    </w:r>
                    <w:r w:rsidR="00410A75">
                      <w:rPr>
                        <w:noProof/>
                        <w:color w:val="FFFFFF" w:themeColor="background1"/>
                        <w:sz w:val="28"/>
                        <w:szCs w:val="28"/>
                      </w:rPr>
                      <w:t>242</w:t>
                    </w:r>
                    <w:r>
                      <w:rPr>
                        <w:noProof/>
                        <w:color w:val="FFFFFF" w:themeColor="background1"/>
                        <w:sz w:val="28"/>
                        <w:szCs w:val="28"/>
                      </w:rPr>
                      <w:fldChar w:fldCharType="end"/>
                    </w:r>
                  </w:p>
                </w:txbxContent>
              </v:textbox>
              <w10:wrap type="square" anchorx="margin" anchory="margin"/>
            </v:rect>
          </w:pict>
        </mc:Fallback>
      </mc:AlternateContent>
    </w:r>
  </w:p>
  <w:p w:rsidR="00D43876" w:rsidRDefault="00D43876" w:rsidP="00D43876">
    <w:pPr>
      <w:pStyle w:val="Footer"/>
    </w:pPr>
  </w:p>
  <w:p w:rsidR="0095531F" w:rsidRPr="00D43876" w:rsidRDefault="0095531F" w:rsidP="00D43876">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0F18" w:rsidRDefault="0008574F" w:rsidP="001D0F18">
    <w:pPr>
      <w:pStyle w:val="Footer"/>
    </w:pPr>
    <w:r>
      <w:rPr>
        <w:noProof/>
        <w:lang w:eastAsia="en-IN"/>
      </w:rPr>
      <mc:AlternateContent>
        <mc:Choice Requires="wpg">
          <w:drawing>
            <wp:anchor distT="0" distB="0" distL="0" distR="0" simplePos="0" relativeHeight="251676672" behindDoc="0" locked="0" layoutInCell="1" allowOverlap="1" wp14:anchorId="7962B0A0" wp14:editId="5A1EF3A8">
              <wp:simplePos x="0" y="0"/>
              <wp:positionH relativeFrom="margin">
                <wp:posOffset>-32385</wp:posOffset>
              </wp:positionH>
              <wp:positionV relativeFrom="bottomMargin">
                <wp:posOffset>3810</wp:posOffset>
              </wp:positionV>
              <wp:extent cx="5800725" cy="466090"/>
              <wp:effectExtent l="0" t="3810" r="3810" b="0"/>
              <wp:wrapSquare wrapText="bothSides"/>
              <wp:docPr id="2"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0725" cy="466090"/>
                        <a:chOff x="0" y="0"/>
                        <a:chExt cx="59626" cy="2756"/>
                      </a:xfrm>
                    </wpg:grpSpPr>
                    <wps:wsp>
                      <wps:cNvPr id="3" name="Rectangle 38"/>
                      <wps:cNvSpPr>
                        <a:spLocks noChangeArrowheads="1"/>
                      </wps:cNvSpPr>
                      <wps:spPr bwMode="auto">
                        <a:xfrm>
                          <a:off x="190" y="0"/>
                          <a:ext cx="59436" cy="188"/>
                        </a:xfrm>
                        <a:prstGeom prst="rect">
                          <a:avLst/>
                        </a:prstGeom>
                        <a:solidFill>
                          <a:schemeClr val="tx1">
                            <a:lumMod val="100000"/>
                            <a:lumOff val="0"/>
                          </a:schemeClr>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4" name="Text Box 39"/>
                      <wps:cNvSpPr txBox="1">
                        <a:spLocks noChangeArrowheads="1"/>
                      </wps:cNvSpPr>
                      <wps:spPr bwMode="auto">
                        <a:xfrm>
                          <a:off x="0" y="184"/>
                          <a:ext cx="49728" cy="25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1D0F18" w:rsidRDefault="001D0F18" w:rsidP="001D0F18">
                            <w:pPr>
                              <w:rPr>
                                <w:b/>
                                <w:color w:val="002060"/>
                              </w:rPr>
                            </w:pPr>
                            <w:r w:rsidRPr="009F6737">
                              <w:rPr>
                                <w:b/>
                                <w:color w:val="002060"/>
                              </w:rPr>
                              <w:t>Pe</w:t>
                            </w:r>
                            <w:r>
                              <w:rPr>
                                <w:b/>
                                <w:color w:val="002060"/>
                              </w:rPr>
                              <w:t xml:space="preserve">tition for Truing-up upto FY 2019-20 </w:t>
                            </w:r>
                          </w:p>
                          <w:p w:rsidR="001D0F18" w:rsidRPr="009F6737" w:rsidRDefault="001D0F18" w:rsidP="001D0F18">
                            <w:pPr>
                              <w:rPr>
                                <w:b/>
                                <w:color w:val="002060"/>
                              </w:rPr>
                            </w:pPr>
                          </w:p>
                          <w:p w:rsidR="001D0F18" w:rsidRPr="0035133D" w:rsidRDefault="001D0F18" w:rsidP="001D0F18"/>
                        </w:txbxContent>
                      </wps:txbx>
                      <wps:bodyPr rot="0" vert="horz" wrap="square" lIns="91440" tIns="45720" rIns="91440" bIns="0" anchor="b"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962B0A0" id="_x0000_s1055" style="position:absolute;margin-left:-2.55pt;margin-top:.3pt;width:456.75pt;height:36.7pt;z-index:251676672;mso-wrap-distance-left:0;mso-wrap-distance-right:0;mso-position-horizontal-relative:margin;mso-position-vertical-relative:bottom-margin-area;mso-width-relative:margin;mso-height-relative:margin" coordsize="59626,27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nk8oQMAALYKAAAOAAAAZHJzL2Uyb0RvYy54bWzMVmtvpDYU/V6p/8Hyd8JjDAMoZJXMI6qU&#10;tqvu9gd4wDxUsKntCZOt+t97bcPsJFu13Wxb7Xxg8Oty7rn3HLh+cxp69Mik6gQvcHgVYMR4KaqO&#10;NwX++f3eSzFSmvKK9oKzAj8xhd/cfPvN9TTmLBKt6CsmEQThKp/GArdaj7nvq7JlA1VXYmQcFmsh&#10;B6phKBu/knSC6EPvR0GQ+JOQ1ShFyZSC2a1bxDc2fl2zUv9Y14pp1BcYsGl7lfZ6MFf/5prmjaRj&#10;25UzDPoKFAPtODz0HGpLNUVH2X0SauhKKZSo9VUpBl/UdVcymwNkEwYvsrmX4jjaXJp8asYzTUDt&#10;C55eHbb84fGtRF1V4AgjTgcokX0qiteGm2lscthyL8d341vpEoTbB1H+omDZf7luxo3bjA7T96KC&#10;ePSoheXmVMvBhICs0cmW4OlcAnbSqITJOA2CdRRjVMIaSZIgm2tUtlDIT46V7W45mCVR4o5F6zgx&#10;4H2au0damDMskxO0mvrIpvoyNt+1dGS2SMpQNbO5Wtj8CVqQ8qZnaJU6Ru22hU7luERcbFrYxm6l&#10;FFPLaAWoQpuEgQtx3QEzUFCJvyU3BN7Qn9CbkdXMUphaPGeSaD5Kpe+ZGJC5KbAE5LZu9PFBacfn&#10;ssWUUYm+q/Zd39uBESzb9BI9UpCaPoX2aH8coAncXBiYn8mJ5jBvymn32imAYTVvQtjKPYvec3OI&#10;C/M0B8TNQNcANLNm+sfq7bcsjEhwF2XePknXHtmT2MvWQeoFYXaXJQHJyHb/uwEXkrztqorxh46z&#10;Rfsh+WfdMLuQU61VP5pAQzGBDA2eZ/CVbA5naiwL55wvORw6DV7Yd0OBQQVnrkw37HhledO06929&#10;/xy/5QxIWP4tLdD3rl1c0x9E9QStIwUUF7oDXBtuWiE/YDSBAxZY/XqkkmHUf8eh/bKQEGOZdkDi&#10;dQQDeblyuFyhvIRQBS61xMgNNtoZ7XGUXdPCs1xPcHELjlB3tqUMQocLkJsBKPN/kihZJPreNM+d&#10;OKFV9kKhSJ9gfgH+X2nVKTVMidOGQWOskGTrCN6exggjYN+aweJony3Ws3ZAe58jpiDbpbuUeCRK&#10;dh4Jtlvvdr8hXrIP1/F2td1stuFzMRmJfrmY/lpCe/ubCblQ2oUmnC+Bq1hNfC3+kKzir9ce9Olw&#10;sl8C85t/Eea/bRjQ7otZHJbb11uFfbfDx5E1vvlDznx9XY6ttXz83Lz5AwAA//8DAFBLAwQUAAYA&#10;CAAAACEAq4gGEN4AAAAGAQAADwAAAGRycy9kb3ducmV2LnhtbEyOwU7DMBBE70j8g7VI3Fo70JYS&#10;4lRVBZyqSrRIiNs23iZR43UUu0n695gTHEczevOy1Wgb0VPna8cakqkCQVw4U3Op4fPwNlmC8AHZ&#10;YOOYNFzJwyq/vckwNW7gD+r3oRQRwj5FDVUIbSqlLyqy6KeuJY7dyXUWQ4xdKU2HQ4TbRj4otZAW&#10;a44PFba0qag47y9Ww/uAw/oxee2359Pm+n2Y7762CWl9fzeuX0AEGsPfGH71ozrk0enoLmy8aDRM&#10;5klcaliAiO2zWs5AHDU8zRTIPJP/9fMfAAAA//8DAFBLAQItABQABgAIAAAAIQC2gziS/gAAAOEB&#10;AAATAAAAAAAAAAAAAAAAAAAAAABbQ29udGVudF9UeXBlc10ueG1sUEsBAi0AFAAGAAgAAAAhADj9&#10;If/WAAAAlAEAAAsAAAAAAAAAAAAAAAAALwEAAF9yZWxzLy5yZWxzUEsBAi0AFAAGAAgAAAAhAFDa&#10;eTyhAwAAtgoAAA4AAAAAAAAAAAAAAAAALgIAAGRycy9lMm9Eb2MueG1sUEsBAi0AFAAGAAgAAAAh&#10;AKuIBhDeAAAABgEAAA8AAAAAAAAAAAAAAAAA+wUAAGRycy9kb3ducmV2LnhtbFBLBQYAAAAABAAE&#10;APMAAAAGBwAAAAA=&#10;">
              <v:rect id="Rectangle 38" o:spid="_x0000_s1056"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yafwAAAANoAAAAPAAAAZHJzL2Rvd25yZXYueG1sRI9Bi8Iw&#10;FITvgv8hPMGbpq4gazWKiMKeFuyKeHw0z6a0eSlNrPXfbwTB4zAz3zDrbW9r0VHrS8cKZtMEBHHu&#10;dMmFgvPfcfINwgdkjbVjUvAkD9vNcLDGVLsHn6jLQiEihH2KCkwITSqlzw1Z9FPXEEfv5lqLIcq2&#10;kLrFR4TbWn4lyUJaLDkuGGxobyivsrtVUFyPh66vDLmTn2f3qlmefy9aqfGo361ABOrDJ/xu/2gF&#10;c3hdiTdAbv4BAAD//wMAUEsBAi0AFAAGAAgAAAAhANvh9svuAAAAhQEAABMAAAAAAAAAAAAAAAAA&#10;AAAAAFtDb250ZW50X1R5cGVzXS54bWxQSwECLQAUAAYACAAAACEAWvQsW78AAAAVAQAACwAAAAAA&#10;AAAAAAAAAAAfAQAAX3JlbHMvLnJlbHNQSwECLQAUAAYACAAAACEAbHcmn8AAAADaAAAADwAAAAAA&#10;AAAAAAAAAAAHAgAAZHJzL2Rvd25yZXYueG1sUEsFBgAAAAADAAMAtwAAAPQCAAAAAA==&#10;" fillcolor="black [3213]" stroked="f" strokeweight="2pt"/>
              <v:shapetype id="_x0000_t202" coordsize="21600,21600" o:spt="202" path="m,l,21600r21600,l21600,xe">
                <v:stroke joinstyle="miter"/>
                <v:path gradientshapeok="t" o:connecttype="rect"/>
              </v:shapetype>
              <v:shape id="Text Box 39" o:spid="_x0000_s1057" type="#_x0000_t202" style="position:absolute;top:184;width:49728;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VuFxAAAANoAAAAPAAAAZHJzL2Rvd25yZXYueG1sRI9Ba8JA&#10;FITvBf/D8oTe6sa0iKRugghiT0KtHnp7ZJ/ZaPZt2N1o2l/fLRR6HGbmG2ZVjbYTN/KhdaxgPstA&#10;ENdOt9woOH5sn5YgQkTW2DkmBV8UoConDysstLvzO90OsREJwqFABSbGvpAy1IYshpnriZN3dt5i&#10;TNI3Unu8J7jtZJ5lC2mx5bRgsKeNofp6GKwCf9rn683l8zTkO/ndmOPwrBd7pR6n4/oVRKQx/of/&#10;2m9awQv8Xkk3QJY/AAAA//8DAFBLAQItABQABgAIAAAAIQDb4fbL7gAAAIUBAAATAAAAAAAAAAAA&#10;AAAAAAAAAABbQ29udGVudF9UeXBlc10ueG1sUEsBAi0AFAAGAAgAAAAhAFr0LFu/AAAAFQEAAAsA&#10;AAAAAAAAAAAAAAAAHwEAAF9yZWxzLy5yZWxzUEsBAi0AFAAGAAgAAAAhAJrFW4XEAAAA2gAAAA8A&#10;AAAAAAAAAAAAAAAABwIAAGRycy9kb3ducmV2LnhtbFBLBQYAAAAAAwADALcAAAD4AgAAAAA=&#10;" filled="f" stroked="f" strokeweight=".5pt">
                <v:textbox inset=",,,0">
                  <w:txbxContent>
                    <w:p w:rsidR="001D0F18" w:rsidRDefault="001D0F18" w:rsidP="001D0F18">
                      <w:pPr>
                        <w:rPr>
                          <w:b/>
                          <w:color w:val="002060"/>
                        </w:rPr>
                      </w:pPr>
                      <w:r w:rsidRPr="009F6737">
                        <w:rPr>
                          <w:b/>
                          <w:color w:val="002060"/>
                        </w:rPr>
                        <w:t>Pe</w:t>
                      </w:r>
                      <w:r>
                        <w:rPr>
                          <w:b/>
                          <w:color w:val="002060"/>
                        </w:rPr>
                        <w:t xml:space="preserve">tition for Truing-up upto FY 2019-20 </w:t>
                      </w:r>
                    </w:p>
                    <w:p w:rsidR="001D0F18" w:rsidRPr="009F6737" w:rsidRDefault="001D0F18" w:rsidP="001D0F18">
                      <w:pPr>
                        <w:rPr>
                          <w:b/>
                          <w:color w:val="002060"/>
                        </w:rPr>
                      </w:pPr>
                    </w:p>
                    <w:p w:rsidR="001D0F18" w:rsidRPr="0035133D" w:rsidRDefault="001D0F18" w:rsidP="001D0F18"/>
                  </w:txbxContent>
                </v:textbox>
              </v:shape>
              <w10:wrap type="square" anchorx="margin" anchory="margin"/>
            </v:group>
          </w:pict>
        </mc:Fallback>
      </mc:AlternateContent>
    </w:r>
    <w:r>
      <w:rPr>
        <w:noProof/>
        <w:lang w:eastAsia="en-IN"/>
      </w:rPr>
      <mc:AlternateContent>
        <mc:Choice Requires="wps">
          <w:drawing>
            <wp:anchor distT="0" distB="0" distL="0" distR="0" simplePos="0" relativeHeight="251675648" behindDoc="0" locked="0" layoutInCell="1" allowOverlap="1" wp14:anchorId="70764A1F" wp14:editId="05067C27">
              <wp:simplePos x="0" y="0"/>
              <wp:positionH relativeFrom="rightMargin">
                <wp:posOffset>-169545</wp:posOffset>
              </wp:positionH>
              <wp:positionV relativeFrom="bottomMargin">
                <wp:posOffset>-6350</wp:posOffset>
              </wp:positionV>
              <wp:extent cx="628650" cy="320040"/>
              <wp:effectExtent l="0" t="0" r="0" b="0"/>
              <wp:wrapSquare wrapText="bothSides"/>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1D0F18" w:rsidRPr="00946C8D" w:rsidRDefault="001D0F18" w:rsidP="001D0F18">
                          <w:pPr>
                            <w:jc w:val="right"/>
                            <w:rPr>
                              <w:color w:val="FFFFFF" w:themeColor="background1"/>
                              <w:sz w:val="28"/>
                              <w:szCs w:val="28"/>
                              <w:lang w:val="en-US"/>
                            </w:rPr>
                          </w:pPr>
                          <w:r>
                            <w:rPr>
                              <w:color w:val="FFFFFF" w:themeColor="background1"/>
                              <w:sz w:val="28"/>
                              <w:szCs w:val="28"/>
                            </w:rPr>
                            <w:fldChar w:fldCharType="begin"/>
                          </w:r>
                          <w:r>
                            <w:rPr>
                              <w:color w:val="FFFFFF" w:themeColor="background1"/>
                              <w:sz w:val="28"/>
                              <w:szCs w:val="28"/>
                            </w:rPr>
                            <w:instrText xml:space="preserve"> PAGE   \* MERGEFORMAT </w:instrText>
                          </w:r>
                          <w:r>
                            <w:rPr>
                              <w:color w:val="FFFFFF" w:themeColor="background1"/>
                              <w:sz w:val="28"/>
                              <w:szCs w:val="28"/>
                            </w:rPr>
                            <w:fldChar w:fldCharType="separate"/>
                          </w:r>
                          <w:r w:rsidR="00410A75">
                            <w:rPr>
                              <w:noProof/>
                              <w:color w:val="FFFFFF" w:themeColor="background1"/>
                              <w:sz w:val="28"/>
                              <w:szCs w:val="28"/>
                            </w:rPr>
                            <w:t>225</w:t>
                          </w:r>
                          <w:r>
                            <w:rPr>
                              <w:noProof/>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764A1F" id="_x0000_s1058" style="position:absolute;margin-left:-13.35pt;margin-top:-.5pt;width:49.5pt;height:25.2pt;z-index:251675648;visibility:visible;mso-wrap-style:square;mso-width-percent:0;mso-height-percent:0;mso-wrap-distance-left:0;mso-wrap-distance-top:0;mso-wrap-distance-right:0;mso-wrap-distance-bottom:0;mso-position-horizontal:absolute;mso-position-horizontal-relative:right-margin-area;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Qa5rgIAALgFAAAOAAAAZHJzL2Uyb0RvYy54bWysVMFu2zAMvQ/YPwi6r7azNsuMOkXQosOA&#10;oA3aDj0rshwbk0VNUmJnXz9Kst2s6y7DfDBEkXwkn0heXvWtJAdhbAOqoNlZSolQHMpG7Qr67en2&#10;w4IS65gqmQQlCnoUll4t37+77HQuZlCDLIUhCKJs3umC1s7pPEksr0XL7BlooVBZgWmZQ9HsktKw&#10;DtFbmczSdJ50YEptgAtr8fYmKuky4FeV4O6+qqxwRBYUc3Phb8J/6//J8pLlO8N03fAhDfYPWbSs&#10;URh0grphjpG9af6AahtuwELlzji0CVRVw0WoAavJ0lfVPNZMi1ALkmP1RJP9f7D87rAxpCkLOkd6&#10;FGvxjR6QNaZ2UhC8Q4I6bXO0e9Qb40u0eg38u0VF8pvGC3aw6SvTelsskPSB7ePEtugd4Xg5ny3m&#10;FxiUo+ojvuV5CJawfHTWxrovAlriDwU1mFbgmB3W1vnwLB9NQl4gm/K2kTIIvoHEtTTkwPDpXZ/5&#10;StDDnlpJRToMvsjSNCAr8P7RUKqhwFhTqM4dpfDoUj2IClnDKmbBMfTrSzjGuVAui6qalSJmcZHi&#10;N+YxJhiyCoAeucL4E/YAMFpGkBE7ZjnYe1cR2n1yjhX9JbHoPHmEyKDc5Nw2CsxblUmsaogc7UeS&#10;IjWeJddv+9BRi7F5tlAescsMxPGzmt82+KRrZt2GGZw37ALcIe4ef5UEfBIYTpTUYH6+de/tcQxQ&#10;S0mH81tQ+2PPjKBEflU4IJ+zc2wo4oJwfvFphoI51WxPNWrfXgP2SYbbSvNw9PZOjsfKQPuMq2bl&#10;o6KKKY6xC7odj9cubhVcVVysVsEIR1wzt1aPmntoz7Jv2Kf+mRk9dLXDcbiDcdJZ/qq5o633VLDa&#10;O6ia0Pme58jqwD+uh9BIwyrz++dUDlYvC3f5CwAA//8DAFBLAwQUAAYACAAAACEALGcnN9sAAAAI&#10;AQAADwAAAGRycy9kb3ducmV2LnhtbEyPwW6DMAyG75P2DpEn7daGsqqljFBNk3Zvu+5uSAqIxEEk&#10;FPb2807bzZY//f7+4rg4K+5mDJ0nBZt1AsJQ7XVHjYLr58cqAxEikkbrySj4NgGO5eNDgbn2M53N&#10;/RIbwSEUclTQxjjkUoa6NQ7D2g+G+Hbzo8PI69hIPeLM4c7KNEl20mFH/KHFwby3pu4vk1OQHexU&#10;9fMX6lN9o+x0nrM+bZR6flreXkFEs8Q/GH71WR1Kdqr8RDoIq2CV7vaM8rDhTgzs0xcQlYLtYQuy&#10;LOT/AuUPAAAA//8DAFBLAQItABQABgAIAAAAIQC2gziS/gAAAOEBAAATAAAAAAAAAAAAAAAAAAAA&#10;AABbQ29udGVudF9UeXBlc10ueG1sUEsBAi0AFAAGAAgAAAAhADj9If/WAAAAlAEAAAsAAAAAAAAA&#10;AAAAAAAALwEAAF9yZWxzLy5yZWxzUEsBAi0AFAAGAAgAAAAhAJqdBrmuAgAAuAUAAA4AAAAAAAAA&#10;AAAAAAAALgIAAGRycy9lMm9Eb2MueG1sUEsBAi0AFAAGAAgAAAAhACxnJzfbAAAACAEAAA8AAAAA&#10;AAAAAAAAAAAACAUAAGRycy9kb3ducmV2LnhtbFBLBQYAAAAABAAEAPMAAAAQBgAAAAA=&#10;" fillcolor="black [3213]" stroked="f" strokeweight="3pt">
              <v:path arrowok="t"/>
              <v:textbox>
                <w:txbxContent>
                  <w:p w:rsidR="001D0F18" w:rsidRPr="00946C8D" w:rsidRDefault="001D0F18" w:rsidP="001D0F18">
                    <w:pPr>
                      <w:jc w:val="right"/>
                      <w:rPr>
                        <w:color w:val="FFFFFF" w:themeColor="background1"/>
                        <w:sz w:val="28"/>
                        <w:szCs w:val="28"/>
                        <w:lang w:val="en-US"/>
                      </w:rPr>
                    </w:pPr>
                    <w:r>
                      <w:rPr>
                        <w:color w:val="FFFFFF" w:themeColor="background1"/>
                        <w:sz w:val="28"/>
                        <w:szCs w:val="28"/>
                      </w:rPr>
                      <w:fldChar w:fldCharType="begin"/>
                    </w:r>
                    <w:r>
                      <w:rPr>
                        <w:color w:val="FFFFFF" w:themeColor="background1"/>
                        <w:sz w:val="28"/>
                        <w:szCs w:val="28"/>
                      </w:rPr>
                      <w:instrText xml:space="preserve"> PAGE   \* MERGEFORMAT </w:instrText>
                    </w:r>
                    <w:r>
                      <w:rPr>
                        <w:color w:val="FFFFFF" w:themeColor="background1"/>
                        <w:sz w:val="28"/>
                        <w:szCs w:val="28"/>
                      </w:rPr>
                      <w:fldChar w:fldCharType="separate"/>
                    </w:r>
                    <w:r w:rsidR="00410A75">
                      <w:rPr>
                        <w:noProof/>
                        <w:color w:val="FFFFFF" w:themeColor="background1"/>
                        <w:sz w:val="28"/>
                        <w:szCs w:val="28"/>
                      </w:rPr>
                      <w:t>225</w:t>
                    </w:r>
                    <w:r>
                      <w:rPr>
                        <w:noProof/>
                        <w:color w:val="FFFFFF" w:themeColor="background1"/>
                        <w:sz w:val="28"/>
                        <w:szCs w:val="28"/>
                      </w:rPr>
                      <w:fldChar w:fldCharType="end"/>
                    </w:r>
                  </w:p>
                </w:txbxContent>
              </v:textbox>
              <w10:wrap type="square" anchorx="margin" anchory="margin"/>
            </v:rect>
          </w:pict>
        </mc:Fallback>
      </mc:AlternateContent>
    </w:r>
  </w:p>
  <w:p w:rsidR="001D0F18" w:rsidRDefault="001D0F18" w:rsidP="001D0F18">
    <w:pPr>
      <w:pStyle w:val="Footer"/>
    </w:pPr>
  </w:p>
  <w:p w:rsidR="001D0F18" w:rsidRPr="00D43876" w:rsidRDefault="001D0F18" w:rsidP="001D0F18">
    <w:pPr>
      <w:pStyle w:val="Footer"/>
    </w:pPr>
  </w:p>
  <w:p w:rsidR="001D0F18" w:rsidRDefault="001D0F1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3A5B" w:rsidRDefault="00693A5B" w:rsidP="00E71CE9">
      <w:pPr>
        <w:spacing w:after="0" w:line="240" w:lineRule="auto"/>
      </w:pPr>
      <w:r>
        <w:separator/>
      </w:r>
    </w:p>
  </w:footnote>
  <w:footnote w:type="continuationSeparator" w:id="0">
    <w:p w:rsidR="00693A5B" w:rsidRDefault="00693A5B" w:rsidP="00E71C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390" w:rsidRDefault="007A339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531F" w:rsidRDefault="0008574F">
    <w:pPr>
      <w:pStyle w:val="Header"/>
    </w:pPr>
    <w:r>
      <w:rPr>
        <w:b/>
        <w:caps/>
        <w:noProof/>
        <w:color w:val="FF0000"/>
        <w:sz w:val="28"/>
        <w:lang w:eastAsia="en-IN"/>
      </w:rPr>
      <mc:AlternateContent>
        <mc:Choice Requires="wpg">
          <w:drawing>
            <wp:anchor distT="0" distB="0" distL="114300" distR="114300" simplePos="0" relativeHeight="251670528" behindDoc="1" locked="0" layoutInCell="1" allowOverlap="1" wp14:anchorId="0D5494C3" wp14:editId="00DBBE1B">
              <wp:simplePos x="0" y="0"/>
              <wp:positionH relativeFrom="page">
                <wp:posOffset>1014095</wp:posOffset>
              </wp:positionH>
              <wp:positionV relativeFrom="page">
                <wp:posOffset>466725</wp:posOffset>
              </wp:positionV>
              <wp:extent cx="5888990" cy="448310"/>
              <wp:effectExtent l="0" t="0" r="0" b="0"/>
              <wp:wrapNone/>
              <wp:docPr id="30"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990" cy="448310"/>
                        <a:chOff x="1310" y="718"/>
                        <a:chExt cx="9274" cy="706"/>
                      </a:xfrm>
                    </wpg:grpSpPr>
                    <wps:wsp>
                      <wps:cNvPr id="31" name="Rectangle 25"/>
                      <wps:cNvSpPr>
                        <a:spLocks/>
                      </wps:cNvSpPr>
                      <wps:spPr bwMode="auto">
                        <a:xfrm>
                          <a:off x="1325" y="720"/>
                          <a:ext cx="3984" cy="591"/>
                        </a:xfrm>
                        <a:prstGeom prst="rect">
                          <a:avLst/>
                        </a:prstGeom>
                        <a:solidFill>
                          <a:srgbClr val="93363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5531F" w:rsidRPr="004F31BE" w:rsidRDefault="0095531F" w:rsidP="004D42C1">
                            <w:pPr>
                              <w:jc w:val="center"/>
                              <w:rPr>
                                <w:i/>
                                <w:color w:val="FFFFFF" w:themeColor="background1"/>
                                <w:sz w:val="28"/>
                                <w:szCs w:val="28"/>
                              </w:rPr>
                            </w:pPr>
                            <w:r>
                              <w:rPr>
                                <w:i/>
                                <w:color w:val="FFFFFF" w:themeColor="background1"/>
                                <w:sz w:val="28"/>
                                <w:szCs w:val="28"/>
                              </w:rPr>
                              <w:t>BSES Yamuna</w:t>
                            </w:r>
                            <w:r w:rsidRPr="004F31BE">
                              <w:rPr>
                                <w:i/>
                                <w:color w:val="FFFFFF" w:themeColor="background1"/>
                                <w:sz w:val="28"/>
                                <w:szCs w:val="28"/>
                              </w:rPr>
                              <w:t xml:space="preserve"> Power Limited</w:t>
                            </w:r>
                          </w:p>
                        </w:txbxContent>
                      </wps:txbx>
                      <wps:bodyPr rot="0" vert="horz" wrap="square" lIns="91440" tIns="45720" rIns="91440" bIns="45720" anchor="t" anchorCtr="0" upright="1">
                        <a:noAutofit/>
                      </wps:bodyPr>
                    </wps:wsp>
                    <wps:wsp>
                      <wps:cNvPr id="32" name="Rectangle 26"/>
                      <wps:cNvSpPr>
                        <a:spLocks/>
                      </wps:cNvSpPr>
                      <wps:spPr bwMode="auto">
                        <a:xfrm>
                          <a:off x="1325" y="1067"/>
                          <a:ext cx="115" cy="275"/>
                        </a:xfrm>
                        <a:prstGeom prst="rect">
                          <a:avLst/>
                        </a:prstGeom>
                        <a:solidFill>
                          <a:srgbClr val="93363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27"/>
                      <wps:cNvSpPr>
                        <a:spLocks/>
                      </wps:cNvSpPr>
                      <wps:spPr bwMode="auto">
                        <a:xfrm>
                          <a:off x="5194" y="1067"/>
                          <a:ext cx="115" cy="275"/>
                        </a:xfrm>
                        <a:prstGeom prst="rect">
                          <a:avLst/>
                        </a:prstGeom>
                        <a:solidFill>
                          <a:srgbClr val="93363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28"/>
                      <wps:cNvSpPr>
                        <a:spLocks/>
                      </wps:cNvSpPr>
                      <wps:spPr bwMode="auto">
                        <a:xfrm>
                          <a:off x="1325" y="1342"/>
                          <a:ext cx="3984" cy="74"/>
                        </a:xfrm>
                        <a:prstGeom prst="rect">
                          <a:avLst/>
                        </a:prstGeom>
                        <a:solidFill>
                          <a:srgbClr val="93363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Rectangle 29"/>
                      <wps:cNvSpPr>
                        <a:spLocks/>
                      </wps:cNvSpPr>
                      <wps:spPr bwMode="auto">
                        <a:xfrm>
                          <a:off x="1440" y="1067"/>
                          <a:ext cx="3754" cy="275"/>
                        </a:xfrm>
                        <a:prstGeom prst="rect">
                          <a:avLst/>
                        </a:prstGeom>
                        <a:solidFill>
                          <a:srgbClr val="93363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Rectangle 30"/>
                      <wps:cNvSpPr>
                        <a:spLocks/>
                      </wps:cNvSpPr>
                      <wps:spPr bwMode="auto">
                        <a:xfrm>
                          <a:off x="1325" y="718"/>
                          <a:ext cx="3984" cy="74"/>
                        </a:xfrm>
                        <a:prstGeom prst="rect">
                          <a:avLst/>
                        </a:prstGeom>
                        <a:solidFill>
                          <a:srgbClr val="93363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9"/>
                      <wps:cNvSpPr>
                        <a:spLocks/>
                      </wps:cNvSpPr>
                      <wps:spPr bwMode="auto">
                        <a:xfrm>
                          <a:off x="1325" y="1342"/>
                          <a:ext cx="3984" cy="74"/>
                        </a:xfrm>
                        <a:prstGeom prst="rect">
                          <a:avLst/>
                        </a:prstGeom>
                        <a:solidFill>
                          <a:srgbClr val="93363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Rectangle 32"/>
                      <wps:cNvSpPr>
                        <a:spLocks/>
                      </wps:cNvSpPr>
                      <wps:spPr bwMode="auto">
                        <a:xfrm>
                          <a:off x="1310" y="1413"/>
                          <a:ext cx="3998" cy="11"/>
                        </a:xfrm>
                        <a:prstGeom prst="rect">
                          <a:avLst/>
                        </a:prstGeom>
                        <a:solidFill>
                          <a:srgbClr val="93363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Freeform 33"/>
                      <wps:cNvSpPr>
                        <a:spLocks/>
                      </wps:cNvSpPr>
                      <wps:spPr bwMode="auto">
                        <a:xfrm>
                          <a:off x="5295" y="1420"/>
                          <a:ext cx="9" cy="0"/>
                        </a:xfrm>
                        <a:custGeom>
                          <a:avLst/>
                          <a:gdLst>
                            <a:gd name="T0" fmla="*/ 0 w 10"/>
                            <a:gd name="T1" fmla="*/ 8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Freeform 34"/>
                      <wps:cNvSpPr>
                        <a:spLocks/>
                      </wps:cNvSpPr>
                      <wps:spPr bwMode="auto">
                        <a:xfrm>
                          <a:off x="5305" y="1420"/>
                          <a:ext cx="5279" cy="0"/>
                        </a:xfrm>
                        <a:custGeom>
                          <a:avLst/>
                          <a:gdLst>
                            <a:gd name="T0" fmla="*/ 0 w 5279"/>
                            <a:gd name="T1" fmla="*/ 5279 w 5279"/>
                            <a:gd name="T2" fmla="*/ 0 60000 65536"/>
                            <a:gd name="T3" fmla="*/ 0 60000 65536"/>
                          </a:gdLst>
                          <a:ahLst/>
                          <a:cxnLst>
                            <a:cxn ang="T2">
                              <a:pos x="T0" y="0"/>
                            </a:cxn>
                            <a:cxn ang="T3">
                              <a:pos x="T1" y="0"/>
                            </a:cxn>
                          </a:cxnLst>
                          <a:rect l="0" t="0" r="r" b="b"/>
                          <a:pathLst>
                            <a:path w="5279">
                              <a:moveTo>
                                <a:pt x="0" y="0"/>
                              </a:moveTo>
                              <a:lnTo>
                                <a:pt x="5279"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5494C3" id="Group 36" o:spid="_x0000_s1026" style="position:absolute;margin-left:79.85pt;margin-top:36.75pt;width:463.7pt;height:35.3pt;z-index:-251645952;mso-position-horizontal-relative:page;mso-position-vertical-relative:page" coordorigin="1310,718" coordsize="9274,7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mV8bwUAAJgnAAAOAAAAZHJzL2Uyb0RvYy54bWzsWm1vo0YQ/l6p/2HFx0qOWd5BcU53cRxV&#10;SttTL/0Ba8A2KrB0IbHTqv+9M7OAsePorne+qmnJBwfYYXdmdp7ZYZ+9fLMrcvaYqjqT5czgF6bB&#10;0jKWSVauZ8Yv94tJYLC6EWUiclmmM+MprY03V99+c7mtotSSG5knqWLQSVlH22pmbJqmiqbTOt6k&#10;hagvZJWW0LiSqhAN3Kr1NFFiC70X+dQyTW+6lSqplIzTuoanc91oXFH/q1UaNz+tVnXasHxmgG4N&#10;/Sr6XeLv9OpSRGslqk0Wt2qIz9CiEFkJg/ZdzUUj2IPKnnVVZLGStVw1F7EspnK1yuKUbABruHlk&#10;za2SDxXZso6266p3E7j2yE+f3W384+N7xbJkZtjgnlIUMEc0LLM9dM62Wkcgc6uqD9V7pS2EyzsZ&#10;/1pD8/S4He/XWpgttz/IBPoTD40k5+xWqsAuwGy2ozl46ucg3TUshoduEARhCLrE0OY4gc3bSYo3&#10;MJP4GsdHDFp9Huj5izc37duh5Tv6Vd8k/aci0qOSpq1maBaEW733aP1lHv2wEVVKE1WjtzqP8s6j&#10;P0McinKdp8xytVdJrnNpPfTnoAW1rMHtH/Ukt6FfconVeqtzpx0GrUPckOPQvUNEVKm6uU1lwfBi&#10;ZihQkqZJPN7VjRbtRHDWaplnySLLc7pR6+V1rtijAGCFtu3ZTtv7gVheonAp8TXdo34C6sEY2IaK&#10;ElD+CLnlmO+scLLwAn/iLBx3EvpmMDF5+C70TCd05os/UUHuRJssSdLyLivTDrTc+bQpbNOHhhvB&#10;lm3BAhccSHa9aKRJf6eMLLIGclieFTMj6IVEtElFclMmYLaIGpHl+np6qD5NCPig+09egVjVE68D&#10;tdktd9ALPlzK5AniQUmYLwABJF642Ej1u8G2kMRmRv3bg1CpwfLvS4jpkDsOiDV047g+RAdTw5bl&#10;sEWUMXQ1MxqD6cvrRmfKh0pl6w2MxMlHpXwLiF5lFCN7rSgbEKz+KXxZJ/DVZq0BiiByz4Yvbno+&#10;hoCOW8xXnAPyMFdZPkF7xBctz68JXyOohouWfQJUFPOIdFjczrZouTyEpQmQM4JqUPGerORe4aI1&#10;gmoIKgh0XVsPKkEqXs8Nqr4S5LZjHa5U+1IQamRdjHUFeVfmjZXgv7sSHEE1BBUUXs9AFWJknx1U&#10;VEWfXKls322/r8b6j/YyxqWKve6PKu85qmBr6Gugqt+06PZxnm9ajCsV7g+OmHrlmPKfY+rrLFQd&#10;pMbqb/yk+o9v/gGxdFz92fTFc/bqr+MbuMPt40+qENTA3T8+bq6PCxXutb/u4i/sQLVQaYqsK7Mp&#10;5M+NKdcKNWHFnWPGClRAQFHJOdhMjx80WYV77x1BBXRr0tJI66TNBvcwB6siBxL3uykz2ZZ1/OFe&#10;Ami5XiI4KQHEQi9hMg9JHea5rqZEcdRuMNgsfVkQtO/1ExvNqYko3pWtznAFRAuQufcW8SqVrJHf&#10;RAsGDgAptHkvbB8IgzHHwjDufhBk9Y7JbwVhOjOWOpdVokHdcAy8RDYMXIa3hXxM7yU1NEd8LQyx&#10;b83LoVRLznbzpxtBHjsnlqsfEPUczGrPEoooL1EN3/Y8UuSAUqyHzCPRbd1QB2JAnbfc20s8HIyC&#10;tp2kIs3wJrgJnIljeTcTx5zPJ28X187EW3Dfndvz6+s5P6QikeD8cioS9Tmw4sDYBf3hrIHnBmID&#10;SlHTs9D8EUpx3EgabCQ5PU+/z3q0Q3r2rGebL2U91/LPnfioSwiWYb4apj5sh+x3Sux/nv/IJei4&#10;fY6r/kYGpNeHWXnMgXiW6xOZrTEHwgmP4VkKOrkEx78o7bdH1fB82fCe5PcH6q7+AgAA//8DAFBL&#10;AwQUAAYACAAAACEA2bY3cuEAAAALAQAADwAAAGRycy9kb3ducmV2LnhtbEyPwUrDQBCG74LvsIzg&#10;zW7WNqbGbEop6qkItoJ4mybTJDQ7G7LbJH17tye9zc98/PNNtppMKwbqXWNZg5pFIIgLWzZcafja&#10;vz0sQTiPXGJrmTRcyMEqv73JMC3tyJ807HwlQgm7FDXU3neplK6oyaCb2Y447I62N+hD7CtZ9jiG&#10;ctPKxyh6kgYbDhdq7GhTU3HanY2G9xHH9Vy9DtvTcXP52ccf31tFWt/fTesXEJ4m/wfDVT+oQx6c&#10;DvbMpRNtyPFzElANyTwGcQWiZaJAHMK0WCiQeSb//5D/AgAA//8DAFBLAQItABQABgAIAAAAIQC2&#10;gziS/gAAAOEBAAATAAAAAAAAAAAAAAAAAAAAAABbQ29udGVudF9UeXBlc10ueG1sUEsBAi0AFAAG&#10;AAgAAAAhADj9If/WAAAAlAEAAAsAAAAAAAAAAAAAAAAALwEAAF9yZWxzLy5yZWxzUEsBAi0AFAAG&#10;AAgAAAAhAIraZXxvBQAAmCcAAA4AAAAAAAAAAAAAAAAALgIAAGRycy9lMm9Eb2MueG1sUEsBAi0A&#10;FAAGAAgAAAAhANm2N3LhAAAACwEAAA8AAAAAAAAAAAAAAAAAyQcAAGRycy9kb3ducmV2LnhtbFBL&#10;BQYAAAAABAAEAPMAAADXCAAAAAA=&#10;">
              <v:rect id="Rectangle 25" o:spid="_x0000_s1027" style="position:absolute;left:1325;top:720;width:3984;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q+2vQAAANsAAAAPAAAAZHJzL2Rvd25yZXYueG1sRI9Bq8Iw&#10;EITvgv8hrOBN0yrKoxpFBcWr+rwvzdoWk01pYq3/3giCx2FmvmGW684a0VLjK8cK0nECgjh3uuJC&#10;wf9lP/oD4QOyRuOYFLzIw3rV7y0x0+7JJ2rPoRARwj5DBWUIdSalz0uy6MeuJo7ezTUWQ5RNIXWD&#10;zwi3Rk6SZC4tVhwXSqxpV1J+Pz+sAkyuj4J2s8v8VZsDhX26bc1VqeGg2yxABOrCL/xtH7WCaQqf&#10;L/EHyNUbAAD//wMAUEsBAi0AFAAGAAgAAAAhANvh9svuAAAAhQEAABMAAAAAAAAAAAAAAAAAAAAA&#10;AFtDb250ZW50X1R5cGVzXS54bWxQSwECLQAUAAYACAAAACEAWvQsW78AAAAVAQAACwAAAAAAAAAA&#10;AAAAAAAfAQAAX3JlbHMvLnJlbHNQSwECLQAUAAYACAAAACEAxBavtr0AAADbAAAADwAAAAAAAAAA&#10;AAAAAAAHAgAAZHJzL2Rvd25yZXYueG1sUEsFBgAAAAADAAMAtwAAAPECAAAAAA==&#10;" fillcolor="#933634" stroked="f">
                <v:path arrowok="t"/>
                <v:textbox>
                  <w:txbxContent>
                    <w:p w:rsidR="0095531F" w:rsidRPr="004F31BE" w:rsidRDefault="0095531F" w:rsidP="004D42C1">
                      <w:pPr>
                        <w:jc w:val="center"/>
                        <w:rPr>
                          <w:i/>
                          <w:color w:val="FFFFFF" w:themeColor="background1"/>
                          <w:sz w:val="28"/>
                          <w:szCs w:val="28"/>
                        </w:rPr>
                      </w:pPr>
                      <w:r>
                        <w:rPr>
                          <w:i/>
                          <w:color w:val="FFFFFF" w:themeColor="background1"/>
                          <w:sz w:val="28"/>
                          <w:szCs w:val="28"/>
                        </w:rPr>
                        <w:t>BSES Yamuna</w:t>
                      </w:r>
                      <w:r w:rsidRPr="004F31BE">
                        <w:rPr>
                          <w:i/>
                          <w:color w:val="FFFFFF" w:themeColor="background1"/>
                          <w:sz w:val="28"/>
                          <w:szCs w:val="28"/>
                        </w:rPr>
                        <w:t xml:space="preserve"> Power Limited</w:t>
                      </w:r>
                    </w:p>
                  </w:txbxContent>
                </v:textbox>
              </v:rect>
              <v:rect id="Rectangle 26" o:spid="_x0000_s1028" style="position:absolute;left:1325;top:1067;width:115;height: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DHBvAAAANsAAAAPAAAAZHJzL2Rvd25yZXYueG1sRI/NCsIw&#10;EITvgu8QVvCmqYoi1SgqKF79uy/N2haTTWlirW9vBMHjMDPfMMt1a41oqPalYwWjYQKCOHO65FzB&#10;9bIfzEH4gKzROCYFb/KwXnU7S0y1e/GJmnPIRYSwT1FBEUKVSumzgiz6oauIo3d3tcUQZZ1LXeMr&#10;wq2R4ySZSYslx4UCK9oVlD3OT6sAk9szp930MntX5kBhP9o25qZUv9duFiACteEf/rWPWsFkDN8v&#10;8QfI1QcAAP//AwBQSwECLQAUAAYACAAAACEA2+H2y+4AAACFAQAAEwAAAAAAAAAAAAAAAAAAAAAA&#10;W0NvbnRlbnRfVHlwZXNdLnhtbFBLAQItABQABgAIAAAAIQBa9CxbvwAAABUBAAALAAAAAAAAAAAA&#10;AAAAAB8BAABfcmVscy8ucmVsc1BLAQItABQABgAIAAAAIQA0xDHBvAAAANsAAAAPAAAAAAAAAAAA&#10;AAAAAAcCAABkcnMvZG93bnJldi54bWxQSwUGAAAAAAMAAwC3AAAA8AIAAAAA&#10;" fillcolor="#933634" stroked="f">
                <v:path arrowok="t"/>
              </v:rect>
              <v:rect id="Rectangle 27" o:spid="_x0000_s1029" style="position:absolute;left:5194;top:1067;width:115;height: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JRavAAAANsAAAAPAAAAZHJzL2Rvd25yZXYueG1sRI/NCsIw&#10;EITvgu8QVvCmqYoi1SgqKF79uy/N2haTTWlirW9vBMHjMDPfMMt1a41oqPalYwWjYQKCOHO65FzB&#10;9bIfzEH4gKzROCYFb/KwXnU7S0y1e/GJmnPIRYSwT1FBEUKVSumzgiz6oauIo3d3tcUQZZ1LXeMr&#10;wq2R4ySZSYslx4UCK9oVlD3OT6sAk9szp930MntX5kBhP9o25qZUv9duFiACteEf/rWPWsFkAt8v&#10;8QfI1QcAAP//AwBQSwECLQAUAAYACAAAACEA2+H2y+4AAACFAQAAEwAAAAAAAAAAAAAAAAAAAAAA&#10;W0NvbnRlbnRfVHlwZXNdLnhtbFBLAQItABQABgAIAAAAIQBa9CxbvwAAABUBAAALAAAAAAAAAAAA&#10;AAAAAB8BAABfcmVscy8ucmVsc1BLAQItABQABgAIAAAAIQBbiJRavAAAANsAAAAPAAAAAAAAAAAA&#10;AAAAAAcCAABkcnMvZG93bnJldi54bWxQSwUGAAAAAAMAAwC3AAAA8AIAAAAA&#10;" fillcolor="#933634" stroked="f">
                <v:path arrowok="t"/>
              </v:rect>
              <v:rect id="Rectangle 28" o:spid="_x0000_s1030" style="position:absolute;left:1325;top:1342;width:3984;height: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QwuvwAAANsAAAAPAAAAZHJzL2Rvd25yZXYueG1sRI9bi8Iw&#10;FITfhf0P4Sz4pqlXpNtUVFB89fZ+aI5t2eSkNLHWf2+EhX0cZuYbJlv31oiOWl87VjAZJyCIC6dr&#10;LhVcL/vRCoQPyBqNY1LwIg/r/GuQYardk0/UnUMpIoR9igqqEJpUSl9UZNGPXUMcvbtrLYYo21Lq&#10;Fp8Rbo2cJslSWqw5LlTY0K6i4vf8sAowuT1K2i0uy1djDhT2k21nbkoNv/vND4hAffgP/7WPWsFs&#10;Dp8v8QfI/A0AAP//AwBQSwECLQAUAAYACAAAACEA2+H2y+4AAACFAQAAEwAAAAAAAAAAAAAAAAAA&#10;AAAAW0NvbnRlbnRfVHlwZXNdLnhtbFBLAQItABQABgAIAAAAIQBa9CxbvwAAABUBAAALAAAAAAAA&#10;AAAAAAAAAB8BAABfcmVscy8ucmVsc1BLAQItABQABgAIAAAAIQDUYQwuvwAAANsAAAAPAAAAAAAA&#10;AAAAAAAAAAcCAABkcnMvZG93bnJldi54bWxQSwUGAAAAAAMAAwC3AAAA8wIAAAAA&#10;" fillcolor="#933634" stroked="f">
                <v:path arrowok="t"/>
              </v:rect>
              <v:rect id="Rectangle 29" o:spid="_x0000_s1031" style="position:absolute;left:1440;top:1067;width:3754;height: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am1vAAAANsAAAAPAAAAZHJzL2Rvd25yZXYueG1sRI/NCsIw&#10;EITvgu8QVvCmqYoi1SgqKF79uy/N2haTTWlirW9vBMHjMDPfMMt1a41oqPalYwWjYQKCOHO65FzB&#10;9bIfzEH4gKzROCYFb/KwXnU7S0y1e/GJmnPIRYSwT1FBEUKVSumzgiz6oauIo3d3tcUQZZ1LXeMr&#10;wq2R4ySZSYslx4UCK9oVlD3OT6sAk9szp930MntX5kBhP9o25qZUv9duFiACteEf/rWPWsFkCt8v&#10;8QfI1QcAAP//AwBQSwECLQAUAAYACAAAACEA2+H2y+4AAACFAQAAEwAAAAAAAAAAAAAAAAAAAAAA&#10;W0NvbnRlbnRfVHlwZXNdLnhtbFBLAQItABQABgAIAAAAIQBa9CxbvwAAABUBAAALAAAAAAAAAAAA&#10;AAAAAB8BAABfcmVscy8ucmVsc1BLAQItABQABgAIAAAAIQC7Lam1vAAAANsAAAAPAAAAAAAAAAAA&#10;AAAAAAcCAABkcnMvZG93bnJldi54bWxQSwUGAAAAAAMAAwC3AAAA8AIAAAAA&#10;" fillcolor="#933634" stroked="f">
                <v:path arrowok="t"/>
              </v:rect>
              <v:rect id="Rectangle 30" o:spid="_x0000_s1032" style="position:absolute;left:1325;top:718;width:3984;height: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fCwQAAANsAAAAPAAAAZHJzL2Rvd25yZXYueG1sRI9Ba8JA&#10;FITvBf/D8oTemk0qDRKzihWUXqvm/sg+k+Du25DdxPjvu4VCj8PMfMOUu9kaMdHgO8cKsiQFQVw7&#10;3XGj4Ho5vq1B+ICs0TgmBU/ysNsuXkostHvwN03n0IgIYV+ggjaEvpDS1y1Z9InriaN3c4PFEOXQ&#10;SD3gI8Ktke9pmkuLHceFFns6tFTfz6NVgGk1NnT4uOTP3pwoHLPPyVRKvS7n/QZEoDn8h//aX1rB&#10;KoffL/EHyO0PAAAA//8DAFBLAQItABQABgAIAAAAIQDb4fbL7gAAAIUBAAATAAAAAAAAAAAAAAAA&#10;AAAAAABbQ29udGVudF9UeXBlc10ueG1sUEsBAi0AFAAGAAgAAAAhAFr0LFu/AAAAFQEAAAsAAAAA&#10;AAAAAAAAAAAAHwEAAF9yZWxzLy5yZWxzUEsBAi0AFAAGAAgAAAAhAEv/N8LBAAAA2wAAAA8AAAAA&#10;AAAAAAAAAAAABwIAAGRycy9kb3ducmV2LnhtbFBLBQYAAAAAAwADALcAAAD1AgAAAAA=&#10;" fillcolor="#933634" stroked="f">
                <v:path arrowok="t"/>
              </v:rect>
              <v:rect id="Rectangle 9" o:spid="_x0000_s1033" style="position:absolute;left:1325;top:1342;width:3984;height: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5JZwAAAANsAAAAPAAAAZHJzL2Rvd25yZXYueG1sRI9bi8Iw&#10;FITfF/wP4Qi+rakrXqimxRWUffX2fmiObTE5KU2s9d+bBcHHYWa+YdZ5b43oqPW1YwWTcQKCuHC6&#10;5lLB+bT7XoLwAVmjcUwKnuQhzwZfa0y1e/CBumMoRYSwT1FBFUKTSumLiiz6sWuIo3d1rcUQZVtK&#10;3eIjwq2RP0kylxZrjgsVNrStqLgd71YBJpd7SdvZaf5szJ7CbvLbmYtSo2G/WYEI1IdP+N3+0wqm&#10;C/j/En+AzF4AAAD//wMAUEsBAi0AFAAGAAgAAAAhANvh9svuAAAAhQEAABMAAAAAAAAAAAAAAAAA&#10;AAAAAFtDb250ZW50X1R5cGVzXS54bWxQSwECLQAUAAYACAAAACEAWvQsW78AAAAVAQAACwAAAAAA&#10;AAAAAAAAAAAfAQAAX3JlbHMvLnJlbHNQSwECLQAUAAYACAAAACEAJLOSWcAAAADbAAAADwAAAAAA&#10;AAAAAAAAAAAHAgAAZHJzL2Rvd25yZXYueG1sUEsFBgAAAAADAAMAtwAAAPQCAAAAAA==&#10;" fillcolor="#933634" stroked="f">
                <v:path arrowok="t"/>
              </v:rect>
              <v:rect id="Rectangle 32" o:spid="_x0000_s1034" style="position:absolute;left:1310;top:1413;width:3998;height: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AYrugAAANsAAAAPAAAAZHJzL2Rvd25yZXYueG1sRE9LCsIw&#10;EN0L3iGM4M6mKopUo6iguPW3H5qxLSaT0sRab28WgsvH+682nTWipcZXjhWMkxQEce50xYWC2/Uw&#10;WoDwAVmjcUwKPuRhs+73Vphp9+YztZdQiBjCPkMFZQh1JqXPS7LoE1cTR+7hGoshwqaQusF3DLdG&#10;TtJ0Li1WHBtKrGlfUv68vKwCTO+vgvaz6/xTmyOFw3jXmrtSw0G3XYII1IW/+Oc+aQXTODZ+iT9A&#10;rr8AAAD//wMAUEsBAi0AFAAGAAgAAAAhANvh9svuAAAAhQEAABMAAAAAAAAAAAAAAAAAAAAAAFtD&#10;b250ZW50X1R5cGVzXS54bWxQSwECLQAUAAYACAAAACEAWvQsW78AAAAVAQAACwAAAAAAAAAAAAAA&#10;AAAfAQAAX3JlbHMvLnJlbHNQSwECLQAUAAYACAAAACEAVSwGK7oAAADbAAAADwAAAAAAAAAAAAAA&#10;AAAHAgAAZHJzL2Rvd25yZXYueG1sUEsFBgAAAAADAAMAtwAAAO4CAAAAAA==&#10;" fillcolor="#933634" stroked="f">
                <v:path arrowok="t"/>
              </v:rect>
              <v:shape id="Freeform 33" o:spid="_x0000_s1035" style="position:absolute;left:5295;top:1420;width:9;height:0;visibility:visible;mso-wrap-style:square;v-text-anchor:top" coordsize="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1UyxAAAANsAAAAPAAAAZHJzL2Rvd25yZXYueG1sRI/NasMw&#10;EITvgb6D2EIvoZZbQ2s7UUIxNITe6vTQ42Ktf4i1MpZiu28fBQI9DjPzDbPdL6YXE42us6zgJYpB&#10;EFdWd9wo+Dl9PqcgnEfW2FsmBX/kYL97WG0x13bmb5pK34gAYZejgtb7IZfSVS0ZdJEdiINX29Gg&#10;D3JspB5xDnDTy9c4fpMGOw4LLQ5UtFSdy4tRULhyfUmSwyEdaPoyXf2bvWdWqafH5WMDwtPi/8P3&#10;9lErSDK4fQk/QO6uAAAA//8DAFBLAQItABQABgAIAAAAIQDb4fbL7gAAAIUBAAATAAAAAAAAAAAA&#10;AAAAAAAAAABbQ29udGVudF9UeXBlc10ueG1sUEsBAi0AFAAGAAgAAAAhAFr0LFu/AAAAFQEAAAsA&#10;AAAAAAAAAAAAAAAAHwEAAF9yZWxzLy5yZWxzUEsBAi0AFAAGAAgAAAAhAPN3VTLEAAAA2wAAAA8A&#10;AAAAAAAAAAAAAAAABwIAAGRycy9kb3ducmV2LnhtbFBLBQYAAAAAAwADALcAAAD4AgAAAAA=&#10;" path="m,l10,e" filled="f" strokeweight=".58pt">
                <v:path arrowok="t" o:connecttype="custom" o:connectlocs="0,0;7,0" o:connectangles="0,0"/>
              </v:shape>
              <v:shape id="Freeform 34" o:spid="_x0000_s1036" style="position:absolute;left:5305;top:1420;width:5279;height:0;visibility:visible;mso-wrap-style:square;v-text-anchor:top" coordsize="52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SsPxAAAANsAAAAPAAAAZHJzL2Rvd25yZXYueG1sRI/NasMw&#10;EITvhbyD2EButZwf2uBYCcGloZcGmvgBFmv901orR1IS9+2rQqHHYWa+YfLdaHpxI+c7ywrmSQqC&#10;uLK640ZBeX59XIPwAVljb5kUfJOH3XbykGOm7Z0/6HYKjYgQ9hkqaEMYMil91ZJBn9iBOHq1dQZD&#10;lK6R2uE9wk0vF2n6JA12HBdaHKhoqfo6XY0Ctz8fLB/fy8vzqvg81sXyBa9LpWbTcb8BEWgM/+G/&#10;9ptWsJrD75f4A+T2BwAA//8DAFBLAQItABQABgAIAAAAIQDb4fbL7gAAAIUBAAATAAAAAAAAAAAA&#10;AAAAAAAAAABbQ29udGVudF9UeXBlc10ueG1sUEsBAi0AFAAGAAgAAAAhAFr0LFu/AAAAFQEAAAsA&#10;AAAAAAAAAAAAAAAAHwEAAF9yZWxzLy5yZWxzUEsBAi0AFAAGAAgAAAAhAAtZKw/EAAAA2wAAAA8A&#10;AAAAAAAAAAAAAAAABwIAAGRycy9kb3ducmV2LnhtbFBLBQYAAAAAAwADALcAAAD4AgAAAAA=&#10;" path="m,l5279,e" filled="f" strokeweight=".58pt">
                <v:path arrowok="t" o:connecttype="custom" o:connectlocs="0,0;5279,0" o:connectangles="0,0"/>
              </v:shape>
              <w10:wrap anchorx="page" anchory="page"/>
            </v:group>
          </w:pict>
        </mc:Fallback>
      </mc:AlternateContent>
    </w:r>
    <w:r>
      <w:rPr>
        <w:b/>
        <w:caps/>
        <w:noProof/>
        <w:color w:val="FF0000"/>
        <w:sz w:val="28"/>
        <w:lang w:eastAsia="en-IN"/>
      </w:rPr>
      <mc:AlternateContent>
        <mc:Choice Requires="wps">
          <w:drawing>
            <wp:anchor distT="0" distB="0" distL="114300" distR="114300" simplePos="0" relativeHeight="251669504" behindDoc="1" locked="0" layoutInCell="0" allowOverlap="1" wp14:anchorId="0918CD4E" wp14:editId="1788E55C">
              <wp:simplePos x="0" y="0"/>
              <wp:positionH relativeFrom="margin">
                <wp:posOffset>2619375</wp:posOffset>
              </wp:positionH>
              <wp:positionV relativeFrom="topMargin">
                <wp:posOffset>552450</wp:posOffset>
              </wp:positionV>
              <wp:extent cx="3619500" cy="353060"/>
              <wp:effectExtent l="0" t="0" r="0" b="0"/>
              <wp:wrapNone/>
              <wp:docPr id="29"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619500" cy="353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531F" w:rsidRDefault="007A3390" w:rsidP="00453411">
                          <w:pPr>
                            <w:widowControl w:val="0"/>
                            <w:autoSpaceDE w:val="0"/>
                            <w:autoSpaceDN w:val="0"/>
                            <w:adjustRightInd w:val="0"/>
                            <w:ind w:right="8"/>
                            <w:jc w:val="right"/>
                            <w:rPr>
                              <w:rFonts w:ascii="Calibri" w:hAnsi="Calibri"/>
                              <w:b/>
                              <w:sz w:val="32"/>
                              <w:szCs w:val="32"/>
                            </w:rPr>
                          </w:pPr>
                          <w:r>
                            <w:rPr>
                              <w:rFonts w:ascii="Calibri" w:hAnsi="Calibri"/>
                              <w:b/>
                              <w:bCs/>
                              <w:sz w:val="32"/>
                              <w:szCs w:val="32"/>
                            </w:rPr>
                            <w:t xml:space="preserve">True Up of </w:t>
                          </w:r>
                          <w:r w:rsidR="0095531F">
                            <w:rPr>
                              <w:rFonts w:ascii="Calibri" w:hAnsi="Calibri"/>
                              <w:b/>
                              <w:bCs/>
                              <w:sz w:val="32"/>
                              <w:szCs w:val="32"/>
                            </w:rPr>
                            <w:t>Past</w:t>
                          </w:r>
                          <w:r>
                            <w:rPr>
                              <w:rFonts w:ascii="Calibri" w:hAnsi="Calibri"/>
                              <w:b/>
                              <w:bCs/>
                              <w:sz w:val="32"/>
                              <w:szCs w:val="32"/>
                            </w:rPr>
                            <w:t xml:space="preserve"> Period</w:t>
                          </w:r>
                          <w:r w:rsidR="0095531F">
                            <w:rPr>
                              <w:rFonts w:ascii="Calibri" w:hAnsi="Calibri"/>
                              <w:b/>
                              <w:bCs/>
                              <w:sz w:val="32"/>
                              <w:szCs w:val="32"/>
                            </w:rPr>
                            <w:t xml:space="preserve"> upto FY 2019-20</w:t>
                          </w:r>
                        </w:p>
                        <w:p w:rsidR="0095531F" w:rsidRPr="0098660E" w:rsidRDefault="0095531F" w:rsidP="004D42C1">
                          <w:pPr>
                            <w:widowControl w:val="0"/>
                            <w:autoSpaceDE w:val="0"/>
                            <w:autoSpaceDN w:val="0"/>
                            <w:adjustRightInd w:val="0"/>
                            <w:ind w:right="173"/>
                            <w:jc w:val="right"/>
                            <w:rPr>
                              <w:rFonts w:ascii="Calibri" w:hAnsi="Calibri"/>
                              <w:b/>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18CD4E" id="_x0000_t202" coordsize="21600,21600" o:spt="202" path="m,l,21600r21600,l21600,xe">
              <v:stroke joinstyle="miter"/>
              <v:path gradientshapeok="t" o:connecttype="rect"/>
            </v:shapetype>
            <v:shape id="Text Box 35" o:spid="_x0000_s1037" type="#_x0000_t202" style="position:absolute;margin-left:206.25pt;margin-top:43.5pt;width:285pt;height:27.8pt;z-index:-251646976;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u3SpQIAAJsFAAAOAAAAZHJzL2Uyb0RvYy54bWysVG1vmzAQ/j5p/8Hyd8pLgAZUUrUhTJO6&#10;F6ndD3DABGtgM9sJdNP++86mpEmrSdM2PqCzfb67557Hd3U9di06UKmY4Bn2LzyMKC9Fxfguw18e&#10;CmeJkdKEV6QVnGb4kSp8vXr75mroUxqIRrQVlQiCcJUOfYYbrfvUdVXZ0I6oC9FTDoe1kB3RsJQ7&#10;t5JkgOhd6waeF7uDkFUvRUmVgt18OsQrG7+uaak/1bWiGrUZhtq0/Uv735q/u7oi6U6SvmHlUxnk&#10;L6roCOOQ9BgqJ5qgvWSvQnWslEKJWl+UonNFXbOSWgyAxvdeoLlvSE8tFmiO6o9tUv8vbPnx8Fki&#10;VmU4SDDipAOOHuio0a0Y0SIy/Rl6lYLbfQ+OeoR94NliVf2dKL8qcHFPfKYLynhvhw+igoBkr4W9&#10;MdayM10C3AjCACGPRxJM0hI2F7GfRB4clXC2iBZebFlySTrf7qXS76jokDEyLIFkG50c7pQ21ZB0&#10;djHJuChY21qiW362AY7TDuSGq+bMVGF5+5F4yWa5WYZOGMQbJ/Ty3Lkp1qETF/5llC/y9Tr3f5q8&#10;fpg2rKooN2lmDfnhn3H0pOaJ/aOKlGhZZcKZkpTcbdetRAcCGi7sZ2iB4k/c3PMy7DFgeQHJD0Lv&#10;NkicIl5eOmERRk5y6S0dz09uk9gLkzAvziHdMU7/HRIaMpxEQTSp5rfYPPu9xkbSjmmYEi3rMrw8&#10;OpG0oaTa8MpSqwlrJ/ukFab851ZAx2airWCNRie16nE72kfgz4LfiuoRFCwFCAy0CBMOjEbI7xgN&#10;MC0yrL7tiaQYte85PEczWmZDzsZ2Nggv4WqGNUaTudbTCNr3ku0aiDw9KC5u4KXUzIrYPKmpCkBg&#10;FjABLJanaWVGzOnaej3P1NUvAAAA//8DAFBLAwQUAAYACAAAACEAorqCLOAAAAAKAQAADwAAAGRy&#10;cy9kb3ducmV2LnhtbEyPy07DMBBF90j8gzVI7KjTqI80xKlQUcUCsWgBqctpbOKI2I5sN3X/numq&#10;LGfm6M651TqZno3Kh85ZAdNJBkzZxsnOtgK+PrdPBbAQ0UrsnVUCLirAur6/q7CU7mx3atzHllGI&#10;DSUK0DEOJeeh0cpgmLhBWbr9OG8w0uhbLj2eKdz0PM+yBTfYWfqgcVAbrZrf/ckI+N4M2/d00Pgx&#10;zuXba77cXXyThHh8SC/PwKJK8QbDVZ/UoSanoztZGVgvYDbN54QKKJbUiYBVcV0ciZzlC+B1xf9X&#10;qP8AAAD//wMAUEsBAi0AFAAGAAgAAAAhALaDOJL+AAAA4QEAABMAAAAAAAAAAAAAAAAAAAAAAFtD&#10;b250ZW50X1R5cGVzXS54bWxQSwECLQAUAAYACAAAACEAOP0h/9YAAACUAQAACwAAAAAAAAAAAAAA&#10;AAAvAQAAX3JlbHMvLnJlbHNQSwECLQAUAAYACAAAACEAxQLt0qUCAACbBQAADgAAAAAAAAAAAAAA&#10;AAAuAgAAZHJzL2Uyb0RvYy54bWxQSwECLQAUAAYACAAAACEAorqCLOAAAAAKAQAADwAAAAAAAAAA&#10;AAAAAAD/BAAAZHJzL2Rvd25yZXYueG1sUEsFBgAAAAAEAAQA8wAAAAwGAAAAAA==&#10;" o:allowincell="f" filled="f" stroked="f">
              <v:path arrowok="t"/>
              <v:textbox inset="0,0,0,0">
                <w:txbxContent>
                  <w:p w:rsidR="0095531F" w:rsidRDefault="007A3390" w:rsidP="00453411">
                    <w:pPr>
                      <w:widowControl w:val="0"/>
                      <w:autoSpaceDE w:val="0"/>
                      <w:autoSpaceDN w:val="0"/>
                      <w:adjustRightInd w:val="0"/>
                      <w:ind w:right="8"/>
                      <w:jc w:val="right"/>
                      <w:rPr>
                        <w:rFonts w:ascii="Calibri" w:hAnsi="Calibri"/>
                        <w:b/>
                        <w:sz w:val="32"/>
                        <w:szCs w:val="32"/>
                      </w:rPr>
                    </w:pPr>
                    <w:r>
                      <w:rPr>
                        <w:rFonts w:ascii="Calibri" w:hAnsi="Calibri"/>
                        <w:b/>
                        <w:bCs/>
                        <w:sz w:val="32"/>
                        <w:szCs w:val="32"/>
                      </w:rPr>
                      <w:t xml:space="preserve">True Up of </w:t>
                    </w:r>
                    <w:r w:rsidR="0095531F">
                      <w:rPr>
                        <w:rFonts w:ascii="Calibri" w:hAnsi="Calibri"/>
                        <w:b/>
                        <w:bCs/>
                        <w:sz w:val="32"/>
                        <w:szCs w:val="32"/>
                      </w:rPr>
                      <w:t>Past</w:t>
                    </w:r>
                    <w:r>
                      <w:rPr>
                        <w:rFonts w:ascii="Calibri" w:hAnsi="Calibri"/>
                        <w:b/>
                        <w:bCs/>
                        <w:sz w:val="32"/>
                        <w:szCs w:val="32"/>
                      </w:rPr>
                      <w:t xml:space="preserve"> Period</w:t>
                    </w:r>
                    <w:r w:rsidR="0095531F">
                      <w:rPr>
                        <w:rFonts w:ascii="Calibri" w:hAnsi="Calibri"/>
                        <w:b/>
                        <w:bCs/>
                        <w:sz w:val="32"/>
                        <w:szCs w:val="32"/>
                      </w:rPr>
                      <w:t xml:space="preserve"> upto FY 2019-20</w:t>
                    </w:r>
                  </w:p>
                  <w:p w:rsidR="0095531F" w:rsidRPr="0098660E" w:rsidRDefault="0095531F" w:rsidP="004D42C1">
                    <w:pPr>
                      <w:widowControl w:val="0"/>
                      <w:autoSpaceDE w:val="0"/>
                      <w:autoSpaceDN w:val="0"/>
                      <w:adjustRightInd w:val="0"/>
                      <w:ind w:right="173"/>
                      <w:jc w:val="right"/>
                      <w:rPr>
                        <w:rFonts w:ascii="Calibri" w:hAnsi="Calibri"/>
                        <w:b/>
                        <w:sz w:val="32"/>
                        <w:szCs w:val="32"/>
                      </w:rPr>
                    </w:pPr>
                  </w:p>
                </w:txbxContent>
              </v:textbox>
              <w10:wrap anchorx="margin" anchory="margin"/>
            </v:shape>
          </w:pict>
        </mc:Fallback>
      </mc:AlternateContent>
    </w:r>
    <w:r w:rsidR="0095531F">
      <w:rPr>
        <w:b/>
        <w:caps/>
        <w:color w:val="FF0000"/>
        <w:sz w:val="28"/>
      </w:rPr>
      <w:tab/>
    </w:r>
    <w:r w:rsidR="0095531F">
      <w:rPr>
        <w:b/>
        <w:caps/>
        <w:color w:val="FF0000"/>
        <w:sz w:val="28"/>
      </w:rP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531F" w:rsidRDefault="0008574F">
    <w:pPr>
      <w:pStyle w:val="Header"/>
    </w:pPr>
    <w:r>
      <w:rPr>
        <w:noProof/>
        <w:lang w:eastAsia="en-IN"/>
      </w:rPr>
      <mc:AlternateContent>
        <mc:Choice Requires="wps">
          <w:drawing>
            <wp:anchor distT="0" distB="0" distL="114300" distR="114300" simplePos="0" relativeHeight="251668480" behindDoc="1" locked="0" layoutInCell="0" allowOverlap="1" wp14:anchorId="6AFDAEE0" wp14:editId="212AC09C">
              <wp:simplePos x="0" y="0"/>
              <wp:positionH relativeFrom="page">
                <wp:posOffset>901700</wp:posOffset>
              </wp:positionH>
              <wp:positionV relativeFrom="page">
                <wp:posOffset>628015</wp:posOffset>
              </wp:positionV>
              <wp:extent cx="2396490" cy="224155"/>
              <wp:effectExtent l="0" t="0" r="0" b="0"/>
              <wp:wrapNone/>
              <wp:docPr id="23"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6490" cy="224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531F" w:rsidRPr="00926083" w:rsidRDefault="0095531F" w:rsidP="008738D5">
                          <w:pPr>
                            <w:widowControl w:val="0"/>
                            <w:autoSpaceDE w:val="0"/>
                            <w:autoSpaceDN w:val="0"/>
                            <w:adjustRightInd w:val="0"/>
                            <w:spacing w:line="265" w:lineRule="exact"/>
                            <w:ind w:left="20" w:right="-36"/>
                            <w:rPr>
                              <w:i/>
                              <w:color w:val="FFFFFF"/>
                              <w:spacing w:val="-2"/>
                              <w:sz w:val="28"/>
                            </w:rPr>
                          </w:pPr>
                          <w:r>
                            <w:rPr>
                              <w:i/>
                              <w:color w:val="FFFFFF"/>
                              <w:spacing w:val="-2"/>
                              <w:sz w:val="28"/>
                            </w:rPr>
                            <w:t xml:space="preserve">BSES Yamuna </w:t>
                          </w:r>
                          <w:r w:rsidRPr="00926083">
                            <w:rPr>
                              <w:i/>
                              <w:color w:val="FFFFFF"/>
                              <w:spacing w:val="-2"/>
                              <w:sz w:val="28"/>
                            </w:rPr>
                            <w:t>Power Limited</w:t>
                          </w:r>
                        </w:p>
                        <w:p w:rsidR="0095531F" w:rsidRPr="00926083" w:rsidRDefault="0095531F" w:rsidP="008738D5">
                          <w:pPr>
                            <w:widowControl w:val="0"/>
                            <w:autoSpaceDE w:val="0"/>
                            <w:autoSpaceDN w:val="0"/>
                            <w:adjustRightInd w:val="0"/>
                            <w:spacing w:line="265" w:lineRule="exact"/>
                            <w:ind w:left="20" w:right="-36"/>
                            <w:rPr>
                              <w:rFonts w:ascii="Times New Roman" w:hAnsi="Times New Roman"/>
                              <w:i/>
                              <w:color w:val="000000"/>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FDAEE0" id="_x0000_t202" coordsize="21600,21600" o:spt="202" path="m,l,21600r21600,l21600,xe">
              <v:stroke joinstyle="miter"/>
              <v:path gradientshapeok="t" o:connecttype="rect"/>
            </v:shapetype>
            <v:shape id="Text Box 36" o:spid="_x0000_s1042" type="#_x0000_t202" style="position:absolute;margin-left:71pt;margin-top:49.45pt;width:188.7pt;height:17.65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vW8sgIAALIFAAAOAAAAZHJzL2Uyb0RvYy54bWysVG1vmzAQ/j5p/8Hyd8pLHBpQSdWGME3q&#10;XqR2P8ABE6yBzWwnpJv233c2IU1bTZq28cE67PNz99w9vqvrQ9eiPVOaS5Hh8CLAiIlSVlxsM/zl&#10;ofAWGGlDRUVbKViGH5nG18u3b66GPmWRbGRbMYUAROh06DPcGNOnvq/LhnVUX8ieCTispeqogV+1&#10;9StFB0DvWj8KgtgfpKp6JUumNezm4yFeOvy6ZqX5VNeaGdRmGHIzblVu3djVX17RdKto3/DymAb9&#10;iyw6ygUEPUHl1FC0U/wVVMdLJbWszUUpO1/WNS+Z4wBswuAFm/uG9sxxgeLo/lQm/f9gy4/7zwrx&#10;KsPRDCNBO+jRAzsYdCsPaBbb+gy9TsHtvgdHc4B96LPjqvs7WX7VSMhVQ8WW3Sglh4bRCvIL7U3/&#10;7OqIoy3IZvggK4hDd0Y6oEOtOls8KAcCdOjT46k3NpcSNqNZEpMEjko4iyISzucuBE2n273S5h2T&#10;HbJGhhX03qHT/Z02NhuaTi42mJAFb1vX/1Y82wDHcQdiw1V7ZrNw7fyRBMl6sV4Qj0Tx2iNBnns3&#10;xYp4cRFezvNZvlrl4U8bNyRpw6uKCRtmklZI/qx1R5GPojiJS8uWVxbOpqTVdrNqFdpTkHbhvmNB&#10;ztz852m4IgCXF5TCiAS3UeIV8eLSIwWZe8llsPCCMLlN4oAkJC+eU7rjgv07JTRkOJlH81FMv+UW&#10;uO81N5p23MDwaHmX4cXJiaZWgmtRudYaytvRPiuFTf+pFNDuqdFOsFajo1rNYXNwb4PY6FbMG1k9&#10;goKVBIGBFmHwgdFI9R2jAYZIhvW3HVUMo/a9gFdgJ85kqMnYTAYVJVzNsMFoNFdmnEy7XvFtA8jj&#10;OxPyBl5KzZ2In7I4vi8YDI7LcYjZyXP+77yeRu3yFwAAAP//AwBQSwMEFAAGAAgAAAAhAEiacA3f&#10;AAAACgEAAA8AAABkcnMvZG93bnJldi54bWxMj0FPg0AUhO8m/ofNM/FmlyI2BVmaxujJpJHiweMC&#10;r7Ap+xbZbYv/3teTHiczmfkm38x2EGecvHGkYLmIQCA1rjXUKfis3h7WIHzQ1OrBESr4QQ+b4vYm&#10;11nrLlTieR86wSXkM62gD2HMpPRNj1b7hRuR2Du4yerAcupkO+kLl9tBxlG0klYb4oVej/jSY3Pc&#10;n6yC7ReVr+Z7V3+Uh9JUVRrR++qo1P3dvH0GEXAOf2G44jM6FMxUuxO1Xgysk5i/BAXpOgXBgadl&#10;moCo2XlMYpBFLv9fKH4BAAD//wMAUEsBAi0AFAAGAAgAAAAhALaDOJL+AAAA4QEAABMAAAAAAAAA&#10;AAAAAAAAAAAAAFtDb250ZW50X1R5cGVzXS54bWxQSwECLQAUAAYACAAAACEAOP0h/9YAAACUAQAA&#10;CwAAAAAAAAAAAAAAAAAvAQAAX3JlbHMvLnJlbHNQSwECLQAUAAYACAAAACEApCb1vLICAACyBQAA&#10;DgAAAAAAAAAAAAAAAAAuAgAAZHJzL2Uyb0RvYy54bWxQSwECLQAUAAYACAAAACEASJpwDd8AAAAK&#10;AQAADwAAAAAAAAAAAAAAAAAMBQAAZHJzL2Rvd25yZXYueG1sUEsFBgAAAAAEAAQA8wAAABgGAAAA&#10;AA==&#10;" o:allowincell="f" filled="f" stroked="f">
              <v:textbox inset="0,0,0,0">
                <w:txbxContent>
                  <w:p w:rsidR="0095531F" w:rsidRPr="00926083" w:rsidRDefault="0095531F" w:rsidP="008738D5">
                    <w:pPr>
                      <w:widowControl w:val="0"/>
                      <w:autoSpaceDE w:val="0"/>
                      <w:autoSpaceDN w:val="0"/>
                      <w:adjustRightInd w:val="0"/>
                      <w:spacing w:line="265" w:lineRule="exact"/>
                      <w:ind w:left="20" w:right="-36"/>
                      <w:rPr>
                        <w:i/>
                        <w:color w:val="FFFFFF"/>
                        <w:spacing w:val="-2"/>
                        <w:sz w:val="28"/>
                      </w:rPr>
                    </w:pPr>
                    <w:r>
                      <w:rPr>
                        <w:i/>
                        <w:color w:val="FFFFFF"/>
                        <w:spacing w:val="-2"/>
                        <w:sz w:val="28"/>
                      </w:rPr>
                      <w:t xml:space="preserve">BSES Yamuna </w:t>
                    </w:r>
                    <w:r w:rsidRPr="00926083">
                      <w:rPr>
                        <w:i/>
                        <w:color w:val="FFFFFF"/>
                        <w:spacing w:val="-2"/>
                        <w:sz w:val="28"/>
                      </w:rPr>
                      <w:t>Power Limited</w:t>
                    </w:r>
                  </w:p>
                  <w:p w:rsidR="0095531F" w:rsidRPr="00926083" w:rsidRDefault="0095531F" w:rsidP="008738D5">
                    <w:pPr>
                      <w:widowControl w:val="0"/>
                      <w:autoSpaceDE w:val="0"/>
                      <w:autoSpaceDN w:val="0"/>
                      <w:adjustRightInd w:val="0"/>
                      <w:spacing w:line="265" w:lineRule="exact"/>
                      <w:ind w:left="20" w:right="-36"/>
                      <w:rPr>
                        <w:rFonts w:ascii="Times New Roman" w:hAnsi="Times New Roman"/>
                        <w:i/>
                        <w:color w:val="000000"/>
                        <w:sz w:val="24"/>
                      </w:rPr>
                    </w:pPr>
                  </w:p>
                </w:txbxContent>
              </v:textbox>
              <w10:wrap anchorx="page" anchory="page"/>
            </v:shape>
          </w:pict>
        </mc:Fallback>
      </mc:AlternateContent>
    </w:r>
    <w:r>
      <w:rPr>
        <w:noProof/>
        <w:lang w:eastAsia="en-IN"/>
      </w:rPr>
      <mc:AlternateContent>
        <mc:Choice Requires="wpg">
          <w:drawing>
            <wp:anchor distT="0" distB="0" distL="114300" distR="114300" simplePos="0" relativeHeight="251667456" behindDoc="1" locked="0" layoutInCell="0" allowOverlap="1" wp14:anchorId="002BF69E" wp14:editId="31A0CBFD">
              <wp:simplePos x="0" y="0"/>
              <wp:positionH relativeFrom="page">
                <wp:posOffset>817880</wp:posOffset>
              </wp:positionH>
              <wp:positionV relativeFrom="page">
                <wp:posOffset>432435</wp:posOffset>
              </wp:positionV>
              <wp:extent cx="5906135" cy="490220"/>
              <wp:effectExtent l="0" t="0" r="0" b="0"/>
              <wp:wrapNone/>
              <wp:docPr id="7"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6135" cy="490220"/>
                        <a:chOff x="1288" y="681"/>
                        <a:chExt cx="9301" cy="772"/>
                      </a:xfrm>
                    </wpg:grpSpPr>
                    <wps:wsp>
                      <wps:cNvPr id="8" name="Rectangle 25"/>
                      <wps:cNvSpPr>
                        <a:spLocks/>
                      </wps:cNvSpPr>
                      <wps:spPr bwMode="auto">
                        <a:xfrm>
                          <a:off x="1325" y="720"/>
                          <a:ext cx="3984" cy="347"/>
                        </a:xfrm>
                        <a:prstGeom prst="rect">
                          <a:avLst/>
                        </a:prstGeom>
                        <a:solidFill>
                          <a:srgbClr val="93363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5531F" w:rsidRPr="008738D5" w:rsidRDefault="0095531F">
                            <w:pPr>
                              <w:rPr>
                                <w:lang w:val="en-US"/>
                              </w:rPr>
                            </w:pPr>
                          </w:p>
                        </w:txbxContent>
                      </wps:txbx>
                      <wps:bodyPr rot="0" vert="horz" wrap="square" lIns="91440" tIns="45720" rIns="91440" bIns="45720" anchor="t" anchorCtr="0" upright="1">
                        <a:noAutofit/>
                      </wps:bodyPr>
                    </wps:wsp>
                    <wps:wsp>
                      <wps:cNvPr id="9" name="Rectangle 26"/>
                      <wps:cNvSpPr>
                        <a:spLocks/>
                      </wps:cNvSpPr>
                      <wps:spPr bwMode="auto">
                        <a:xfrm>
                          <a:off x="1325" y="1067"/>
                          <a:ext cx="115" cy="275"/>
                        </a:xfrm>
                        <a:prstGeom prst="rect">
                          <a:avLst/>
                        </a:prstGeom>
                        <a:solidFill>
                          <a:srgbClr val="93363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27"/>
                      <wps:cNvSpPr>
                        <a:spLocks/>
                      </wps:cNvSpPr>
                      <wps:spPr bwMode="auto">
                        <a:xfrm>
                          <a:off x="5194" y="1067"/>
                          <a:ext cx="115" cy="275"/>
                        </a:xfrm>
                        <a:prstGeom prst="rect">
                          <a:avLst/>
                        </a:prstGeom>
                        <a:solidFill>
                          <a:srgbClr val="93363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28"/>
                      <wps:cNvSpPr>
                        <a:spLocks/>
                      </wps:cNvSpPr>
                      <wps:spPr bwMode="auto">
                        <a:xfrm>
                          <a:off x="1325" y="1342"/>
                          <a:ext cx="3984" cy="74"/>
                        </a:xfrm>
                        <a:prstGeom prst="rect">
                          <a:avLst/>
                        </a:prstGeom>
                        <a:solidFill>
                          <a:srgbClr val="93363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29"/>
                      <wps:cNvSpPr>
                        <a:spLocks/>
                      </wps:cNvSpPr>
                      <wps:spPr bwMode="auto">
                        <a:xfrm>
                          <a:off x="1440" y="1067"/>
                          <a:ext cx="3754" cy="275"/>
                        </a:xfrm>
                        <a:prstGeom prst="rect">
                          <a:avLst/>
                        </a:prstGeom>
                        <a:solidFill>
                          <a:srgbClr val="93363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30"/>
                      <wps:cNvSpPr>
                        <a:spLocks/>
                      </wps:cNvSpPr>
                      <wps:spPr bwMode="auto">
                        <a:xfrm>
                          <a:off x="1325" y="718"/>
                          <a:ext cx="3984" cy="74"/>
                        </a:xfrm>
                        <a:prstGeom prst="rect">
                          <a:avLst/>
                        </a:prstGeom>
                        <a:solidFill>
                          <a:srgbClr val="93363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31"/>
                      <wps:cNvSpPr>
                        <a:spLocks/>
                      </wps:cNvSpPr>
                      <wps:spPr bwMode="auto">
                        <a:xfrm>
                          <a:off x="1325" y="1342"/>
                          <a:ext cx="3984" cy="74"/>
                        </a:xfrm>
                        <a:prstGeom prst="rect">
                          <a:avLst/>
                        </a:prstGeom>
                        <a:solidFill>
                          <a:srgbClr val="93363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32"/>
                      <wps:cNvSpPr>
                        <a:spLocks/>
                      </wps:cNvSpPr>
                      <wps:spPr bwMode="auto">
                        <a:xfrm>
                          <a:off x="1310" y="1413"/>
                          <a:ext cx="3998" cy="11"/>
                        </a:xfrm>
                        <a:prstGeom prst="rect">
                          <a:avLst/>
                        </a:prstGeom>
                        <a:solidFill>
                          <a:srgbClr val="93363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Freeform 33"/>
                      <wps:cNvSpPr>
                        <a:spLocks/>
                      </wps:cNvSpPr>
                      <wps:spPr bwMode="auto">
                        <a:xfrm>
                          <a:off x="5295" y="1420"/>
                          <a:ext cx="10" cy="0"/>
                        </a:xfrm>
                        <a:custGeom>
                          <a:avLst/>
                          <a:gdLst>
                            <a:gd name="T0" fmla="*/ 0 w 10"/>
                            <a:gd name="T1" fmla="*/ 9 w 10"/>
                          </a:gdLst>
                          <a:ahLst/>
                          <a:cxnLst>
                            <a:cxn ang="0">
                              <a:pos x="T0" y="0"/>
                            </a:cxn>
                            <a:cxn ang="0">
                              <a:pos x="T1" y="0"/>
                            </a:cxn>
                          </a:cxnLst>
                          <a:rect l="0" t="0" r="r" b="b"/>
                          <a:pathLst>
                            <a:path w="10">
                              <a:moveTo>
                                <a:pt x="0" y="0"/>
                              </a:moveTo>
                              <a:lnTo>
                                <a:pt x="9"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Freeform 34"/>
                      <wps:cNvSpPr>
                        <a:spLocks/>
                      </wps:cNvSpPr>
                      <wps:spPr bwMode="auto">
                        <a:xfrm>
                          <a:off x="5305" y="1420"/>
                          <a:ext cx="5279" cy="0"/>
                        </a:xfrm>
                        <a:custGeom>
                          <a:avLst/>
                          <a:gdLst>
                            <a:gd name="T0" fmla="*/ 0 w 5279"/>
                            <a:gd name="T1" fmla="*/ 5279 w 5279"/>
                          </a:gdLst>
                          <a:ahLst/>
                          <a:cxnLst>
                            <a:cxn ang="0">
                              <a:pos x="T0" y="0"/>
                            </a:cxn>
                            <a:cxn ang="0">
                              <a:pos x="T1" y="0"/>
                            </a:cxn>
                          </a:cxnLst>
                          <a:rect l="0" t="0" r="r" b="b"/>
                          <a:pathLst>
                            <a:path w="5279">
                              <a:moveTo>
                                <a:pt x="0" y="0"/>
                              </a:moveTo>
                              <a:lnTo>
                                <a:pt x="5279"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2BF69E" id="Group 24" o:spid="_x0000_s1043" style="position:absolute;margin-left:64.4pt;margin-top:34.05pt;width:465.05pt;height:38.6pt;z-index:-251649024;mso-position-horizontal-relative:page;mso-position-vertical-relative:page" coordorigin="1288,681" coordsize="9301,7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PbASwUAAPQmAAAOAAAAZHJzL2Uyb0RvYy54bWzsWlFvo0YQfq/U/7DisZIDCxgMinO6i+Oo&#10;UtqeeukPWAM2qMDSBcdOq/73zsxijB2nd8o5VXPCDzZ4ht3Z2flmh/328t22yNlDoupMllODX1gG&#10;S8pIxlm5mhq/3c9HE4PVjShjkcsymRqPSW28u/r+u8tNFSa2TGUeJ4pBI2UdbqqpkTZNFZpmHaVJ&#10;IeoLWSUlCJdSFaKBW7UyYyU20HqRm7ZleeZGqrhSMkrqGv6daaFxRe0vl0nU/LJc1knD8qkBtjX0&#10;reh7gd/m1aUIV0pUaRa1ZogXWFGIrIROu6ZmohFsrbInTRVZpGQtl81FJAtTLpdZlNAYYDTcOhrN&#10;rZLrisayCjerqnMTuPbITy9uNvr54aNiWTw1fIOVooApol6Z7aJvNtUqBJVbVX2qPio9QLi8k9Hv&#10;NYjNYzner7QyW2x+kjG0J9aNJN9sl6rAJmDUbEtT8NhNQbJtWAR/jgPL487YYBHI3MCy7XaOohQm&#10;Eh/j9gRiCqTehOvpi9Kb9unAsbh+1PdtFJoi1L2Spa1lOCyItnrv0PrrHPopFVVC81Sjt1qHgpXa&#10;ob9CFIpylSfMHmunktrOo3XfnT0JGlmD1z/rSO5Au+gRf+esnTedYOJqfziuf+APEVaqbm4TWTC8&#10;mBoKjKRZEg93daNdt1PBSatlnsXzLM/pRq0W17liDwJgFTiO51C0gLcP1PISlUuJj+kW9T9gHvSB&#10;MjSUYPJXwG3X+mAHo7k38Ufu3B2PAt+ajCwefAg8yw3c2fxvNJC7YZrFcVLeZWWygyx3v2wG2+Sh&#10;wUagZRsYwRgcSON6dpAWfVoXHgyyyBrIYHlWTI1JpyTCNBHxTRnDsEXYiCzX1+ah+RSg4IPdL3kF&#10;QlVPvI7TZrvYEkC72FnI+BHCQkmYNshpkH3hIpXqT4NtIJNNjfqPtVCJwfIfS4jsgLsupj66cccY&#10;JEz1JYu+RJQRNDU1GoPpy+tGp8t1pbJVCj1xclUp3wOulxmFClqsraKcQOD6j1AWnECZ96oo45ZH&#10;WNLRi0mL8zZh2T5NUpd1BpRZ5ttA2YCp3srF7ROgophHoMMKd7ala8wDWKBg6RpA1at6T1Zzb3Dp&#10;GkDVB5VzAlST112pHJeq4P1KtS8I/V3FtqvKd8XeUA/+v+vBAVR9UEHh9eQlK3gVUFERfXKlcvxx&#10;+5Y11H+0nzEsVexNv1Nx7ymqHNqHOXf9t9+64LQUDisVbHoO5R9s/X1r+xS821/dbwc6tIH5apji&#10;Q/m3ZxIGUH2DoDpR/Tn0xnN+THHYNcXqz+UOlpf9hSqAnX6kKzjBedj8I37uLW2xD69UvVcqpAf0&#10;K9VcJQkyr8yhkD83psZ2APglTB3zVgg2RBTVnD1ARWvNWSH+djwVcK5xyyat4tbye3h+WeTA5P5g&#10;MottGDRIoN1rAE/YaQSdBvTVtSZSTYSJMNqWbQ9wBbQI8K8WkSCVrJGSxO561oISGviMLnR8rAu9&#10;7rtAIu6YrVYGA7Z6ocdQiQYtwy7wEgksGB7eFvIhuZckaI4YVuhiL83LvhYwKD2DtAzUsW3ipbr+&#10;0MzeBHS8ngjzEq3wHc97MY0GVHfLlj3HnEEvOLST5KEV3ExuJu7Itb2bkWvNZqP382t35M25P545&#10;s+vrGT8kD5GS/HryEO05IAPrPjE6pw9OGniup9YjATWhCuLPkIBDhupnqI6e2Geo9rTCmdkJx3ou&#10;Q41tH3Bz1hxFTf5LlkI5JKqdGgTNW0xVZP7LkxU9PuSrLzr/83QbbshXcHCif0SBjgXB0SpK0e0x&#10;MDy71b8n/f1htat/AAAA//8DAFBLAwQUAAYACAAAACEAH2MfzOEAAAALAQAADwAAAGRycy9kb3du&#10;cmV2LnhtbEyPQUvDQBCF74L/YRnBm92kNSXGbEop6qkItoJ422anSWh2NmS3SfrvnZ7s7T3e4803&#10;+WqyrRiw940jBfEsAoFUOtNQpeB7//6UgvBBk9GtI1RwQQ+r4v4u15lxI33hsAuV4BHymVZQh9Bl&#10;UvqyRqv9zHVInB1db3Vg21fS9HrkcdvKeRQtpdUN8YVad7ipsTztzlbBx6jH9SJ+G7an4+byu08+&#10;f7YxKvX4MK1fQQScwn8ZrviMDgUzHdyZjBct+3nK6EHBMo1BXAtRkr6AOLB6ThYgi1ze/lD8AQAA&#10;//8DAFBLAQItABQABgAIAAAAIQC2gziS/gAAAOEBAAATAAAAAAAAAAAAAAAAAAAAAABbQ29udGVu&#10;dF9UeXBlc10ueG1sUEsBAi0AFAAGAAgAAAAhADj9If/WAAAAlAEAAAsAAAAAAAAAAAAAAAAALwEA&#10;AF9yZWxzLy5yZWxzUEsBAi0AFAAGAAgAAAAhAGYI9sBLBQAA9CYAAA4AAAAAAAAAAAAAAAAALgIA&#10;AGRycy9lMm9Eb2MueG1sUEsBAi0AFAAGAAgAAAAhAB9jH8zhAAAACwEAAA8AAAAAAAAAAAAAAAAA&#10;pQcAAGRycy9kb3ducmV2LnhtbFBLBQYAAAAABAAEAPMAAACzCAAAAAA=&#10;" o:allowincell="f">
              <v:rect id="Rectangle 25" o:spid="_x0000_s1044" style="position:absolute;left:1325;top:720;width:3984;height: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EtKuQAAANoAAAAPAAAAZHJzL2Rvd25yZXYueG1sRE9LCsIw&#10;EN0L3iGM4E7TCopUY1FBcetvPzRjW0wmpYm13t4sBJeP91/nvTWio9bXjhWk0wQEceF0zaWC2/Uw&#10;WYLwAVmjcUwKPuQh3wwHa8y0e/OZuksoRQxhn6GCKoQmk9IXFVn0U9cQR+7hWoshwraUusV3DLdG&#10;zpJkIS3WHBsqbGhfUfG8vKwCTO6vkvbz6+LTmCOFQ7rrzF2p8ajfrkAE6sNf/HOftIK4NV6JN0Bu&#10;vgAAAP//AwBQSwECLQAUAAYACAAAACEA2+H2y+4AAACFAQAAEwAAAAAAAAAAAAAAAAAAAAAAW0Nv&#10;bnRlbnRfVHlwZXNdLnhtbFBLAQItABQABgAIAAAAIQBa9CxbvwAAABUBAAALAAAAAAAAAAAAAAAA&#10;AB8BAABfcmVscy8ucmVsc1BLAQItABQABgAIAAAAIQCn8EtKuQAAANoAAAAPAAAAAAAAAAAAAAAA&#10;AAcCAABkcnMvZG93bnJldi54bWxQSwUGAAAAAAMAAwC3AAAA7QIAAAAA&#10;" fillcolor="#933634" stroked="f">
                <v:path arrowok="t"/>
                <v:textbox>
                  <w:txbxContent>
                    <w:p w:rsidR="0095531F" w:rsidRPr="008738D5" w:rsidRDefault="0095531F">
                      <w:pPr>
                        <w:rPr>
                          <w:lang w:val="en-US"/>
                        </w:rPr>
                      </w:pPr>
                    </w:p>
                  </w:txbxContent>
                </v:textbox>
              </v:rect>
              <v:rect id="Rectangle 26" o:spid="_x0000_s1045" style="position:absolute;left:1325;top:1067;width:115;height: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O7RvAAAANoAAAAPAAAAZHJzL2Rvd25yZXYueG1sRI/NCsIw&#10;EITvgu8QVvCmqYKi1SgqKF79uy/N2haTTWlirW9vBMHjMDPfMMt1a41oqPalYwWjYQKCOHO65FzB&#10;9bIfzED4gKzROCYFb/KwXnU7S0y1e/GJmnPIRYSwT1FBEUKVSumzgiz6oauIo3d3tcUQZZ1LXeMr&#10;wq2R4ySZSoslx4UCK9oVlD3OT6sAk9szp93kMn1X5kBhP9o25qZUv9duFiACteEf/rWPWsEcvlfi&#10;DZCrDwAAAP//AwBQSwECLQAUAAYACAAAACEA2+H2y+4AAACFAQAAEwAAAAAAAAAAAAAAAAAAAAAA&#10;W0NvbnRlbnRfVHlwZXNdLnhtbFBLAQItABQABgAIAAAAIQBa9CxbvwAAABUBAAALAAAAAAAAAAAA&#10;AAAAAB8BAABfcmVscy8ucmVsc1BLAQItABQABgAIAAAAIQDIvO7RvAAAANoAAAAPAAAAAAAAAAAA&#10;AAAAAAcCAABkcnMvZG93bnJldi54bWxQSwUGAAAAAAMAAwC3AAAA8AIAAAAA&#10;" fillcolor="#933634" stroked="f">
                <v:path arrowok="t"/>
              </v:rect>
              <v:rect id="Rectangle 27" o:spid="_x0000_s1046" style="position:absolute;left:5194;top:1067;width:115;height: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2hugAAANsAAAAPAAAAZHJzL2Rvd25yZXYueG1sRE9LCsIw&#10;EN0L3iGM4E5TBUWqUVRQ3PrpfmjGtphMShNrvb0RBHfzeN9ZbTprREuNrxwrmIwTEMS50xUXCm7X&#10;w2gBwgdkjcYxKXiTh82631thqt2Lz9ReQiFiCPsUFZQh1KmUPi/Joh+7mjhyd9dYDBE2hdQNvmK4&#10;NXKaJHNpseLYUGJN+5Lyx+VpFWCSPQvaz67zd22OFA6TXWsypYaDbrsEEagLf/HPfdJx/hS+v8QD&#10;5PoDAAD//wMAUEsBAi0AFAAGAAgAAAAhANvh9svuAAAAhQEAABMAAAAAAAAAAAAAAAAAAAAAAFtD&#10;b250ZW50X1R5cGVzXS54bWxQSwECLQAUAAYACAAAACEAWvQsW78AAAAVAQAACwAAAAAAAAAAAAAA&#10;AAAfAQAAX3JlbHMvLnJlbHNQSwECLQAUAAYACAAAACEAf3FtoboAAADbAAAADwAAAAAAAAAAAAAA&#10;AAAHAgAAZHJzL2Rvd25yZXYueG1sUEsFBgAAAAADAAMAtwAAAO4CAAAAAA==&#10;" fillcolor="#933634" stroked="f">
                <v:path arrowok="t"/>
              </v:rect>
              <v:rect id="Rectangle 28" o:spid="_x0000_s1047" style="position:absolute;left:1325;top:1342;width:3984;height: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cg6ugAAANsAAAAPAAAAZHJzL2Rvd25yZXYueG1sRE9LCsIw&#10;EN0L3iGM4E5TFUWqUVRQ3PrbD83YFpNJaWKttzeC4G4e7zvLdWuNaKj2pWMFo2ECgjhzuuRcwfWy&#10;H8xB+ICs0TgmBW/ysF51O0tMtXvxiZpzyEUMYZ+igiKEKpXSZwVZ9ENXEUfu7mqLIcI6l7rGVwy3&#10;Ro6TZCYtlhwbCqxoV1D2OD+tAkxuz5x208vsXZkDhf1o25ibUv1eu1mACNSGv/jnPuo4fwLfX+IB&#10;cvUBAAD//wMAUEsBAi0AFAAGAAgAAAAhANvh9svuAAAAhQEAABMAAAAAAAAAAAAAAAAAAAAAAFtD&#10;b250ZW50X1R5cGVzXS54bWxQSwECLQAUAAYACAAAACEAWvQsW78AAAAVAQAACwAAAAAAAAAAAAAA&#10;AAAfAQAAX3JlbHMvLnJlbHNQSwECLQAUAAYACAAAACEAED3IOroAAADbAAAADwAAAAAAAAAAAAAA&#10;AAAHAgAAZHJzL2Rvd25yZXYueG1sUEsFBgAAAAADAAMAtwAAAO4CAAAAAA==&#10;" fillcolor="#933634" stroked="f">
                <v:path arrowok="t"/>
              </v:rect>
              <v:rect id="Rectangle 29" o:spid="_x0000_s1048" style="position:absolute;left:1440;top:1067;width:3754;height: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PXVugAAANsAAAAPAAAAZHJzL2Rvd25yZXYueG1sRE9LCsIw&#10;EN0L3iGM4E5TBUWqUVRQ3PrpfmjGtphMShNrvb0RBHfzeN9ZbTprREuNrxwrmIwTEMS50xUXCm7X&#10;w2gBwgdkjcYxKXiTh82631thqt2Lz9ReQiFiCPsUFZQh1KmUPi/Joh+7mjhyd9dYDBE2hdQNvmK4&#10;NXKaJHNpseLYUGJN+5Lyx+VpFWCSPQvaz67zd22OFA6TXWsypYaDbrsEEagLf/HPfdJx/gy+v8QD&#10;5PoDAAD//wMAUEsBAi0AFAAGAAgAAAAhANvh9svuAAAAhQEAABMAAAAAAAAAAAAAAAAAAAAAAFtD&#10;b250ZW50X1R5cGVzXS54bWxQSwECLQAUAAYACAAAACEAWvQsW78AAAAVAQAACwAAAAAAAAAAAAAA&#10;AAAfAQAAX3JlbHMvLnJlbHNQSwECLQAUAAYACAAAACEA8Jj11boAAADbAAAADwAAAAAAAAAAAAAA&#10;AAAHAgAAZHJzL2Rvd25yZXYueG1sUEsFBgAAAAADAAMAtwAAAO4CAAAAAA==&#10;" fillcolor="#933634" stroked="f">
                <v:path arrowok="t"/>
              </v:rect>
              <v:rect id="Rectangle 30" o:spid="_x0000_s1049" style="position:absolute;left:1325;top:718;width:3984;height: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muiugAAANsAAAAPAAAAZHJzL2Rvd25yZXYueG1sRE9LCsIw&#10;EN0L3iGM4E5TBYtUo6iguPW3H5qxLSaT0sRab28Ewd083neW684a0VLjK8cKJuMEBHHudMWFgutl&#10;P5qD8AFZo3FMCt7kYb3q95aYaffiE7XnUIgYwj5DBWUIdSalz0uy6MeuJo7c3TUWQ4RNIXWDrxhu&#10;jZwmSSotVhwbSqxpV1L+OD+tAkxuz4J2s0v6rs2Bwn6ybc1NqeGg2yxABOrCX/xzH3Wcn8L3l3iA&#10;XH0AAAD//wMAUEsBAi0AFAAGAAgAAAAhANvh9svuAAAAhQEAABMAAAAAAAAAAAAAAAAAAAAAAFtD&#10;b250ZW50X1R5cGVzXS54bWxQSwECLQAUAAYACAAAACEAWvQsW78AAAAVAQAACwAAAAAAAAAAAAAA&#10;AAAfAQAAX3JlbHMvLnJlbHNQSwECLQAUAAYACAAAACEAAEproroAAADbAAAADwAAAAAAAAAAAAAA&#10;AAAHAgAAZHJzL2Rvd25yZXYueG1sUEsFBgAAAAADAAMAtwAAAO4CAAAAAA==&#10;" fillcolor="#933634" stroked="f">
                <v:path arrowok="t"/>
              </v:rect>
              <v:rect id="Rectangle 31" o:spid="_x0000_s1050" style="position:absolute;left:1325;top:1342;width:3984;height: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s45ugAAANsAAAAPAAAAZHJzL2Rvd25yZXYueG1sRE/JCsIw&#10;EL0L/kMYwZumCi5Uo6igeHW7D83YFpNJaWKtf28Ewds83jrLdWuNaKj2pWMFo2ECgjhzuuRcwfWy&#10;H8xB+ICs0TgmBW/ysF51O0tMtXvxiZpzyEUMYZ+igiKEKpXSZwVZ9ENXEUfu7mqLIcI6l7rGVwy3&#10;Ro6TZCotlhwbCqxoV1D2OD+tAkxuz5x2k8v0XZkDhf1o25ibUv1eu1mACNSGv/jnPuo4fwbfX+IB&#10;cvUBAAD//wMAUEsBAi0AFAAGAAgAAAAhANvh9svuAAAAhQEAABMAAAAAAAAAAAAAAAAAAAAAAFtD&#10;b250ZW50X1R5cGVzXS54bWxQSwECLQAUAAYACAAAACEAWvQsW78AAAAVAQAACwAAAAAAAAAAAAAA&#10;AAAfAQAAX3JlbHMvLnJlbHNQSwECLQAUAAYACAAAACEAbwbOOboAAADbAAAADwAAAAAAAAAAAAAA&#10;AAAHAgAAZHJzL2Rvd25yZXYueG1sUEsFBgAAAAADAAMAtwAAAO4CAAAAAA==&#10;" fillcolor="#933634" stroked="f">
                <v:path arrowok="t"/>
              </v:rect>
              <v:rect id="Rectangle 32" o:spid="_x0000_s1051" style="position:absolute;left:1310;top:1413;width:3998;height: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eTUvAAAANoAAAAPAAAAZHJzL2Rvd25yZXYueG1sRI/NCsIw&#10;EITvgu8QVvCmqYIi1SgqKF796X1p1raYbEoTa317Iwgeh5n5hlltOmtES42vHCuYjBMQxLnTFRcK&#10;btfDaAHCB2SNxjEpeJOHzbrfW2Gq3YvP1F5CISKEfYoKyhDqVEqfl2TRj11NHL27ayyGKJtC6gZf&#10;EW6NnCbJXFqsOC6UWNO+pPxxeVoFmGTPgvaz6/xdmyOFw2TXmkyp4aDbLkEE6sI//GuftIIZfK/E&#10;GyDXHwAAAP//AwBQSwECLQAUAAYACAAAACEA2+H2y+4AAACFAQAAEwAAAAAAAAAAAAAAAAAAAAAA&#10;W0NvbnRlbnRfVHlwZXNdLnhtbFBLAQItABQABgAIAAAAIQBa9CxbvwAAABUBAAALAAAAAAAAAAAA&#10;AAAAAB8BAABfcmVscy8ucmVsc1BLAQItABQABgAIAAAAIQBJ8eTUvAAAANoAAAAPAAAAAAAAAAAA&#10;AAAAAAcCAABkcnMvZG93bnJldi54bWxQSwUGAAAAAAMAAwC3AAAA8AIAAAAA&#10;" fillcolor="#933634" stroked="f">
                <v:path arrowok="t"/>
              </v:rect>
              <v:shape id="Freeform 33" o:spid="_x0000_s1052" style="position:absolute;left:5295;top:1420;width:10;height:0;visibility:visible;mso-wrap-style:square;v-text-anchor:top" coordsize="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GpyvQAAANsAAAAPAAAAZHJzL2Rvd25yZXYueG1sRE+7CsIw&#10;FN0F/yFcwUU0VcFHNYoIirhZHRwvzbUtNjelibX+vRkEx8N5r7etKUVDtSssKxiPIhDEqdUFZwpu&#10;18NwAcJ5ZI2lZVLwIQfbTbezxljbN1+oSXwmQgi7GBXk3lexlC7NyaAb2Yo4cA9bG/QB1pnUNb5D&#10;uCnlJIpm0mDBoSHHivY5pc/kZRTsXTJ4TafH46Ki5myKx305X1ql+r12twLhqfV/8c990gomYX34&#10;En6A3HwBAAD//wMAUEsBAi0AFAAGAAgAAAAhANvh9svuAAAAhQEAABMAAAAAAAAAAAAAAAAAAAAA&#10;AFtDb250ZW50X1R5cGVzXS54bWxQSwECLQAUAAYACAAAACEAWvQsW78AAAAVAQAACwAAAAAAAAAA&#10;AAAAAAAfAQAAX3JlbHMvLnJlbHNQSwECLQAUAAYACAAAACEA55Rqcr0AAADbAAAADwAAAAAAAAAA&#10;AAAAAAAHAgAAZHJzL2Rvd25yZXYueG1sUEsFBgAAAAADAAMAtwAAAPECAAAAAA==&#10;" path="m,l9,e" filled="f" strokeweight=".58pt">
                <v:path arrowok="t" o:connecttype="custom" o:connectlocs="0,0;9,0" o:connectangles="0,0"/>
              </v:shape>
              <v:shape id="Freeform 34" o:spid="_x0000_s1053" style="position:absolute;left:5305;top:1420;width:5279;height:0;visibility:visible;mso-wrap-style:square;v-text-anchor:top" coordsize="52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FDYwwAAANsAAAAPAAAAZHJzL2Rvd25yZXYueG1sRI/dasJA&#10;FITvBd9hOYJ3dWMsVaKrSIrSmwr+PMAhe0yi2bPp7qrx7buFgpfDzHzDLFadacSdnK8tKxiPEhDE&#10;hdU1lwpOx83bDIQPyBoby6TgSR5Wy35vgZm2D97T/RBKESHsM1RQhdBmUvqiIoN+ZFvi6J2tMxii&#10;dKXUDh8RbhqZJsmHNFhzXKiwpbyi4nq4GQVufdxa3n2ffqbv+WV3ziefeJsoNRx06zmIQF14hf/b&#10;X1pBmsLfl/gD5PIXAAD//wMAUEsBAi0AFAAGAAgAAAAhANvh9svuAAAAhQEAABMAAAAAAAAAAAAA&#10;AAAAAAAAAFtDb250ZW50X1R5cGVzXS54bWxQSwECLQAUAAYACAAAACEAWvQsW78AAAAVAQAACwAA&#10;AAAAAAAAAAAAAAAfAQAAX3JlbHMvLnJlbHNQSwECLQAUAAYACAAAACEAJlRQ2MMAAADbAAAADwAA&#10;AAAAAAAAAAAAAAAHAgAAZHJzL2Rvd25yZXYueG1sUEsFBgAAAAADAAMAtwAAAPcCAAAAAA==&#10;" path="m,l5279,e" filled="f" strokeweight=".58pt">
                <v:path arrowok="t" o:connecttype="custom" o:connectlocs="0,0;5279,0" o:connectangles="0,0"/>
              </v:shape>
              <w10:wrap anchorx="page" anchory="page"/>
            </v:group>
          </w:pict>
        </mc:Fallback>
      </mc:AlternateContent>
    </w:r>
    <w:r>
      <w:rPr>
        <w:noProof/>
        <w:lang w:eastAsia="en-IN"/>
      </w:rPr>
      <mc:AlternateContent>
        <mc:Choice Requires="wps">
          <w:drawing>
            <wp:anchor distT="0" distB="0" distL="114300" distR="114300" simplePos="0" relativeHeight="251666432" behindDoc="1" locked="0" layoutInCell="0" allowOverlap="1" wp14:anchorId="00BE726C" wp14:editId="25383C01">
              <wp:simplePos x="0" y="0"/>
              <wp:positionH relativeFrom="page">
                <wp:posOffset>3300730</wp:posOffset>
              </wp:positionH>
              <wp:positionV relativeFrom="page">
                <wp:posOffset>552450</wp:posOffset>
              </wp:positionV>
              <wp:extent cx="3457575" cy="353060"/>
              <wp:effectExtent l="0" t="0" r="0" b="0"/>
              <wp:wrapNone/>
              <wp:docPr id="19"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353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531F" w:rsidRDefault="0095531F" w:rsidP="008738D5">
                          <w:pPr>
                            <w:widowControl w:val="0"/>
                            <w:autoSpaceDE w:val="0"/>
                            <w:autoSpaceDN w:val="0"/>
                            <w:adjustRightInd w:val="0"/>
                            <w:ind w:right="8"/>
                            <w:jc w:val="right"/>
                            <w:rPr>
                              <w:rFonts w:ascii="Calibri" w:hAnsi="Calibri"/>
                              <w:b/>
                              <w:sz w:val="32"/>
                              <w:szCs w:val="32"/>
                            </w:rPr>
                          </w:pPr>
                          <w:r>
                            <w:rPr>
                              <w:rFonts w:ascii="Calibri" w:hAnsi="Calibri"/>
                              <w:b/>
                              <w:bCs/>
                              <w:sz w:val="32"/>
                              <w:szCs w:val="32"/>
                            </w:rPr>
                            <w:t>Past Claims upto FY 2019-20</w:t>
                          </w:r>
                        </w:p>
                        <w:p w:rsidR="0095531F" w:rsidRPr="00AC41E5" w:rsidRDefault="0095531F" w:rsidP="008738D5">
                          <w:pPr>
                            <w:rPr>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BE726C" id="_x0000_s1054" type="#_x0000_t202" style="position:absolute;margin-left:259.9pt;margin-top:43.5pt;width:272.25pt;height:27.8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B73tAIAALIFAAAOAAAAZHJzL2Uyb0RvYy54bWysVG1vmzAQ/j5p/8HydwokQAIqqdoQpknd&#10;i9TuBzhggjWwme0Eumr/fWcTkqb9Mm0DCR32+fHdPc/d9c3QNuhApWKCp9i/8jCivBAl47sUf3vM&#10;nSVGShNekkZwmuInqvDN6v27675L6EzUoimpRADCVdJ3Ka617hLXVUVNW6KuREc5bFZCtkTDr9y5&#10;pSQ9oLeNO/O8yO2FLDspCqoUrGbjJl5Z/Kqihf5SVYpq1KQYYtP2K+13a77u6pokO0m6mhXHMMhf&#10;RNESxuHSE1RGNEF7yd5AtayQQolKXxWidUVVsYLaHCAb33uVzUNNOmpzgeKo7lQm9f9gi8+HrxKx&#10;EriLMeKkBY4e6aDRnRjQPDT16TuVgNtDB456gHXwtbmq7l4U3xXiYl0TvqO3Uoq+pqSE+Hxz0n1x&#10;dMRRBmTbfxIl3EP2WligoZKtKR6UAwE68PR04sbEUsDiPAgX8GJUwN48nHuRJc8lyXS6k0p/oKJF&#10;xkixBO4tOjncK22iIcnkYi7jImdNY/lv+MUCOI4rcDccNXsmCkvnc+zFm+VmGTjBLNo4gZdlzm2+&#10;Dpwo9xdhNs/W68z/Ze71g6RmZUm5uWaSlh/8GXVHkY+iOIlLiYaVBs6EpORuu24kOhCQdm4fW3PY&#10;Obu5l2HYIkAur1LyZ4F3N4udPFounCAPQideeEvH8+O7OPKCOMjyy5TuGaf/nhLqUxyHs3AU0zno&#10;V7l59nmbG0lapmF4NKxN8fLkRBIjwQ0vLbWasGa0X5TChH8uBdA9EW0FazQ6qlUP28H2RjT1wVaU&#10;T6BgKUBgIFMYfGDUQv7EqIchkmL1Y08kxaj5yKELzMSZDDkZ28kgvICjKdYYjeZaj5Np30m2qwF5&#10;7DMubqFTKmZFbFpqjOLYXzAYbC7HIWYmz8t/63UetavfAAAA//8DAFBLAwQUAAYACAAAACEAf2c4&#10;9uEAAAALAQAADwAAAGRycy9kb3ducmV2LnhtbEyPwU7DMBBE70j8g7VI3KjdUkIb4lQVghMSIg0H&#10;jk68TaLG6xC7bfh7tie4zWpGs2+yzeR6ccIxdJ40zGcKBFLtbUeNhs/y9W4FIkRD1vSeUMMPBtjk&#10;11eZSa0/U4GnXWwEl1BIjYY2xiGVMtQtOhNmfkBib+9HZyKfYyPtaM5c7nq5UCqRznTEH1oz4HOL&#10;9WF3dBq2X1S8dN/v1UexL7qyXCt6Sw5a395M2ycQEaf4F4YLPqNDzkyVP5INotfwMF8zetSweuRN&#10;l4BKlvcgKlbLRQIyz+T/DfkvAAAA//8DAFBLAQItABQABgAIAAAAIQC2gziS/gAAAOEBAAATAAAA&#10;AAAAAAAAAAAAAAAAAABbQ29udGVudF9UeXBlc10ueG1sUEsBAi0AFAAGAAgAAAAhADj9If/WAAAA&#10;lAEAAAsAAAAAAAAAAAAAAAAALwEAAF9yZWxzLy5yZWxzUEsBAi0AFAAGAAgAAAAhABwkHve0AgAA&#10;sgUAAA4AAAAAAAAAAAAAAAAALgIAAGRycy9lMm9Eb2MueG1sUEsBAi0AFAAGAAgAAAAhAH9nOPbh&#10;AAAACwEAAA8AAAAAAAAAAAAAAAAADgUAAGRycy9kb3ducmV2LnhtbFBLBQYAAAAABAAEAPMAAAAc&#10;BgAAAAA=&#10;" o:allowincell="f" filled="f" stroked="f">
              <v:textbox inset="0,0,0,0">
                <w:txbxContent>
                  <w:p w:rsidR="0095531F" w:rsidRDefault="0095531F" w:rsidP="008738D5">
                    <w:pPr>
                      <w:widowControl w:val="0"/>
                      <w:autoSpaceDE w:val="0"/>
                      <w:autoSpaceDN w:val="0"/>
                      <w:adjustRightInd w:val="0"/>
                      <w:ind w:right="8"/>
                      <w:jc w:val="right"/>
                      <w:rPr>
                        <w:rFonts w:ascii="Calibri" w:hAnsi="Calibri"/>
                        <w:b/>
                        <w:sz w:val="32"/>
                        <w:szCs w:val="32"/>
                      </w:rPr>
                    </w:pPr>
                    <w:r>
                      <w:rPr>
                        <w:rFonts w:ascii="Calibri" w:hAnsi="Calibri"/>
                        <w:b/>
                        <w:bCs/>
                        <w:sz w:val="32"/>
                        <w:szCs w:val="32"/>
                      </w:rPr>
                      <w:t>Past Claims upto FY 2019-20</w:t>
                    </w:r>
                  </w:p>
                  <w:p w:rsidR="0095531F" w:rsidRPr="00AC41E5" w:rsidRDefault="0095531F" w:rsidP="008738D5">
                    <w:pPr>
                      <w:rPr>
                        <w:szCs w:val="32"/>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D0EE36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0B3569"/>
    <w:multiLevelType w:val="hybridMultilevel"/>
    <w:tmpl w:val="99E6B0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5BD518F"/>
    <w:multiLevelType w:val="hybridMultilevel"/>
    <w:tmpl w:val="5AC0F644"/>
    <w:lvl w:ilvl="0" w:tplc="9B20B152">
      <w:start w:val="1"/>
      <w:numFmt w:val="lowerRoman"/>
      <w:lvlText w:val="%1."/>
      <w:lvlJc w:val="left"/>
      <w:pPr>
        <w:ind w:left="324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7381DCF"/>
    <w:multiLevelType w:val="hybridMultilevel"/>
    <w:tmpl w:val="95A216D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6065AC"/>
    <w:multiLevelType w:val="hybridMultilevel"/>
    <w:tmpl w:val="A2D8BBD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9F11256"/>
    <w:multiLevelType w:val="hybridMultilevel"/>
    <w:tmpl w:val="3D345BE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CE84288"/>
    <w:multiLevelType w:val="hybridMultilevel"/>
    <w:tmpl w:val="369EB6D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05946CC"/>
    <w:multiLevelType w:val="multilevel"/>
    <w:tmpl w:val="2C368682"/>
    <w:lvl w:ilvl="0">
      <w:start w:val="1"/>
      <w:numFmt w:val="decimal"/>
      <w:pStyle w:val="ARRB11"/>
      <w:lvlText w:val="4.%1"/>
      <w:lvlJc w:val="left"/>
      <w:pPr>
        <w:ind w:left="360" w:hanging="360"/>
      </w:pPr>
      <w:rPr>
        <w:rFonts w:hint="default"/>
        <w:b w:val="0"/>
        <w:i w:val="0"/>
        <w:color w:val="auto"/>
        <w:sz w:val="24"/>
        <w:szCs w:val="24"/>
      </w:rPr>
    </w:lvl>
    <w:lvl w:ilvl="1">
      <w:start w:val="1"/>
      <w:numFmt w:val="decimal"/>
      <w:lvlText w:val="%1.%2"/>
      <w:lvlJc w:val="left"/>
      <w:pPr>
        <w:ind w:left="1080" w:hanging="720"/>
      </w:pPr>
      <w:rPr>
        <w:rFonts w:hint="default"/>
        <w:b w:val="0"/>
        <w:color w:val="auto"/>
        <w:sz w:val="28"/>
        <w:szCs w:val="23"/>
      </w:rPr>
    </w:lvl>
    <w:lvl w:ilvl="2">
      <w:start w:val="1"/>
      <w:numFmt w:val="decimal"/>
      <w:lvlText w:val="%1.%2.%3"/>
      <w:lvlJc w:val="left"/>
      <w:pPr>
        <w:ind w:left="1080" w:hanging="72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1800" w:hanging="1440"/>
      </w:pPr>
      <w:rPr>
        <w:rFonts w:hint="default"/>
      </w:rPr>
    </w:lvl>
    <w:lvl w:ilvl="6">
      <w:start w:val="1"/>
      <w:numFmt w:val="decimal"/>
      <w:lvlText w:val="%1.%2.%3.%4.%5.%6.%7"/>
      <w:lvlJc w:val="left"/>
      <w:pPr>
        <w:ind w:left="2160" w:hanging="1800"/>
      </w:pPr>
      <w:rPr>
        <w:rFonts w:hint="default"/>
      </w:rPr>
    </w:lvl>
    <w:lvl w:ilvl="7">
      <w:start w:val="1"/>
      <w:numFmt w:val="decimal"/>
      <w:lvlText w:val="%1.%2.%3.%4.%5.%6.%7.%8"/>
      <w:lvlJc w:val="left"/>
      <w:pPr>
        <w:ind w:left="2520" w:hanging="2160"/>
      </w:pPr>
      <w:rPr>
        <w:rFonts w:hint="default"/>
      </w:rPr>
    </w:lvl>
    <w:lvl w:ilvl="8">
      <w:start w:val="1"/>
      <w:numFmt w:val="decimal"/>
      <w:lvlText w:val="%1.%2.%3.%4.%5.%6.%7.%8.%9"/>
      <w:lvlJc w:val="left"/>
      <w:pPr>
        <w:ind w:left="2520" w:hanging="2160"/>
      </w:pPr>
      <w:rPr>
        <w:rFonts w:hint="default"/>
      </w:rPr>
    </w:lvl>
  </w:abstractNum>
  <w:abstractNum w:abstractNumId="8" w15:restartNumberingAfterBreak="0">
    <w:nsid w:val="17FE0DCF"/>
    <w:multiLevelType w:val="hybridMultilevel"/>
    <w:tmpl w:val="5DF84730"/>
    <w:lvl w:ilvl="0" w:tplc="4009000F">
      <w:start w:val="1"/>
      <w:numFmt w:val="decimal"/>
      <w:lvlText w:val="%1."/>
      <w:lvlJc w:val="left"/>
      <w:pPr>
        <w:ind w:left="720" w:hanging="360"/>
      </w:pPr>
    </w:lvl>
    <w:lvl w:ilvl="1" w:tplc="52C245C0">
      <w:start w:val="1"/>
      <w:numFmt w:val="lowerRoman"/>
      <w:lvlText w:val="%2."/>
      <w:lvlJc w:val="left"/>
      <w:pPr>
        <w:ind w:left="1800" w:hanging="72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00D4EDC"/>
    <w:multiLevelType w:val="hybridMultilevel"/>
    <w:tmpl w:val="5D5AD316"/>
    <w:lvl w:ilvl="0" w:tplc="04090017">
      <w:start w:val="1"/>
      <w:numFmt w:val="lowerLetter"/>
      <w:lvlText w:val="%1)"/>
      <w:lvlJc w:val="left"/>
      <w:pPr>
        <w:ind w:left="720" w:hanging="360"/>
      </w:pPr>
    </w:lvl>
    <w:lvl w:ilvl="1" w:tplc="AAA86050">
      <w:start w:val="1"/>
      <w:numFmt w:val="decimal"/>
      <w:lvlText w:val="%2."/>
      <w:lvlJc w:val="left"/>
      <w:pPr>
        <w:ind w:left="1440" w:hanging="360"/>
      </w:pPr>
      <w:rPr>
        <w:rFonts w:hint="default"/>
      </w:rPr>
    </w:lvl>
    <w:lvl w:ilvl="2" w:tplc="7D14C8C6">
      <w:start w:val="1"/>
      <w:numFmt w:val="decimal"/>
      <w:lvlText w:val="%3."/>
      <w:lvlJc w:val="left"/>
      <w:pPr>
        <w:ind w:left="2160" w:hanging="180"/>
      </w:pPr>
      <w:rPr>
        <w:rFonts w:asciiTheme="minorHAnsi" w:eastAsia="Times New Roman" w:hAnsiTheme="minorHAnsi" w:cstheme="minorHAnsi"/>
        <w:b/>
      </w:rPr>
    </w:lvl>
    <w:lvl w:ilvl="3" w:tplc="0AA4A222">
      <w:start w:val="1"/>
      <w:numFmt w:val="lowerRoman"/>
      <w:lvlText w:val="%4."/>
      <w:lvlJc w:val="left"/>
      <w:pPr>
        <w:ind w:left="3240" w:hanging="720"/>
      </w:pPr>
      <w:rPr>
        <w:rFonts w:hint="default"/>
        <w:b w:val="0"/>
      </w:rPr>
    </w:lvl>
    <w:lvl w:ilvl="4" w:tplc="361ADB9E">
      <w:start w:val="1"/>
      <w:numFmt w:val="lowerLetter"/>
      <w:lvlText w:val="%5."/>
      <w:lvlJc w:val="left"/>
      <w:pPr>
        <w:ind w:left="3600" w:hanging="360"/>
      </w:pPr>
      <w:rPr>
        <w:rFonts w:hint="default"/>
      </w:rPr>
    </w:lvl>
    <w:lvl w:ilvl="5" w:tplc="ECE6DA24">
      <w:start w:val="1"/>
      <w:numFmt w:val="upperLetter"/>
      <w:lvlText w:val="%6)"/>
      <w:lvlJc w:val="left"/>
      <w:pPr>
        <w:ind w:left="4500" w:hanging="360"/>
      </w:pPr>
      <w:rPr>
        <w:rFonts w:hint="default"/>
      </w:rPr>
    </w:lvl>
    <w:lvl w:ilvl="6" w:tplc="CC30FF0A">
      <w:start w:val="7"/>
      <w:numFmt w:val="lowerLetter"/>
      <w:lvlText w:val="(%7)"/>
      <w:lvlJc w:val="left"/>
      <w:pPr>
        <w:ind w:left="5040" w:hanging="360"/>
      </w:pPr>
      <w:rPr>
        <w:rFonts w:hint="default"/>
      </w:rPr>
    </w:lvl>
    <w:lvl w:ilvl="7" w:tplc="B7C2004A">
      <w:start w:val="1"/>
      <w:numFmt w:val="decimal"/>
      <w:lvlText w:val="%8)"/>
      <w:lvlJc w:val="left"/>
      <w:pPr>
        <w:ind w:left="5760" w:hanging="360"/>
      </w:pPr>
      <w:rPr>
        <w:rFonts w:hint="default"/>
      </w:rPr>
    </w:lvl>
    <w:lvl w:ilvl="8" w:tplc="0409001B" w:tentative="1">
      <w:start w:val="1"/>
      <w:numFmt w:val="lowerRoman"/>
      <w:lvlText w:val="%9."/>
      <w:lvlJc w:val="right"/>
      <w:pPr>
        <w:ind w:left="6480" w:hanging="180"/>
      </w:pPr>
    </w:lvl>
  </w:abstractNum>
  <w:abstractNum w:abstractNumId="10" w15:restartNumberingAfterBreak="0">
    <w:nsid w:val="27D001D5"/>
    <w:multiLevelType w:val="hybridMultilevel"/>
    <w:tmpl w:val="89E0F7CC"/>
    <w:lvl w:ilvl="0" w:tplc="D3E8F1EA">
      <w:start w:val="1"/>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BA043CA"/>
    <w:multiLevelType w:val="hybridMultilevel"/>
    <w:tmpl w:val="E152AECC"/>
    <w:lvl w:ilvl="0" w:tplc="40090001">
      <w:start w:val="1"/>
      <w:numFmt w:val="bullet"/>
      <w:lvlText w:val=""/>
      <w:lvlJc w:val="left"/>
      <w:pPr>
        <w:ind w:left="263" w:hanging="360"/>
      </w:pPr>
      <w:rPr>
        <w:rFonts w:ascii="Symbol" w:hAnsi="Symbol" w:hint="default"/>
      </w:rPr>
    </w:lvl>
    <w:lvl w:ilvl="1" w:tplc="40090003" w:tentative="1">
      <w:start w:val="1"/>
      <w:numFmt w:val="bullet"/>
      <w:lvlText w:val="o"/>
      <w:lvlJc w:val="left"/>
      <w:pPr>
        <w:ind w:left="983" w:hanging="360"/>
      </w:pPr>
      <w:rPr>
        <w:rFonts w:ascii="Courier New" w:hAnsi="Courier New" w:cs="Courier New" w:hint="default"/>
      </w:rPr>
    </w:lvl>
    <w:lvl w:ilvl="2" w:tplc="40090005" w:tentative="1">
      <w:start w:val="1"/>
      <w:numFmt w:val="bullet"/>
      <w:lvlText w:val=""/>
      <w:lvlJc w:val="left"/>
      <w:pPr>
        <w:ind w:left="1703" w:hanging="360"/>
      </w:pPr>
      <w:rPr>
        <w:rFonts w:ascii="Wingdings" w:hAnsi="Wingdings" w:hint="default"/>
      </w:rPr>
    </w:lvl>
    <w:lvl w:ilvl="3" w:tplc="40090001" w:tentative="1">
      <w:start w:val="1"/>
      <w:numFmt w:val="bullet"/>
      <w:lvlText w:val=""/>
      <w:lvlJc w:val="left"/>
      <w:pPr>
        <w:ind w:left="2423" w:hanging="360"/>
      </w:pPr>
      <w:rPr>
        <w:rFonts w:ascii="Symbol" w:hAnsi="Symbol" w:hint="default"/>
      </w:rPr>
    </w:lvl>
    <w:lvl w:ilvl="4" w:tplc="40090003" w:tentative="1">
      <w:start w:val="1"/>
      <w:numFmt w:val="bullet"/>
      <w:lvlText w:val="o"/>
      <w:lvlJc w:val="left"/>
      <w:pPr>
        <w:ind w:left="3143" w:hanging="360"/>
      </w:pPr>
      <w:rPr>
        <w:rFonts w:ascii="Courier New" w:hAnsi="Courier New" w:cs="Courier New" w:hint="default"/>
      </w:rPr>
    </w:lvl>
    <w:lvl w:ilvl="5" w:tplc="40090005" w:tentative="1">
      <w:start w:val="1"/>
      <w:numFmt w:val="bullet"/>
      <w:lvlText w:val=""/>
      <w:lvlJc w:val="left"/>
      <w:pPr>
        <w:ind w:left="3863" w:hanging="360"/>
      </w:pPr>
      <w:rPr>
        <w:rFonts w:ascii="Wingdings" w:hAnsi="Wingdings" w:hint="default"/>
      </w:rPr>
    </w:lvl>
    <w:lvl w:ilvl="6" w:tplc="40090001" w:tentative="1">
      <w:start w:val="1"/>
      <w:numFmt w:val="bullet"/>
      <w:lvlText w:val=""/>
      <w:lvlJc w:val="left"/>
      <w:pPr>
        <w:ind w:left="4583" w:hanging="360"/>
      </w:pPr>
      <w:rPr>
        <w:rFonts w:ascii="Symbol" w:hAnsi="Symbol" w:hint="default"/>
      </w:rPr>
    </w:lvl>
    <w:lvl w:ilvl="7" w:tplc="40090003" w:tentative="1">
      <w:start w:val="1"/>
      <w:numFmt w:val="bullet"/>
      <w:lvlText w:val="o"/>
      <w:lvlJc w:val="left"/>
      <w:pPr>
        <w:ind w:left="5303" w:hanging="360"/>
      </w:pPr>
      <w:rPr>
        <w:rFonts w:ascii="Courier New" w:hAnsi="Courier New" w:cs="Courier New" w:hint="default"/>
      </w:rPr>
    </w:lvl>
    <w:lvl w:ilvl="8" w:tplc="40090005" w:tentative="1">
      <w:start w:val="1"/>
      <w:numFmt w:val="bullet"/>
      <w:lvlText w:val=""/>
      <w:lvlJc w:val="left"/>
      <w:pPr>
        <w:ind w:left="6023" w:hanging="360"/>
      </w:pPr>
      <w:rPr>
        <w:rFonts w:ascii="Wingdings" w:hAnsi="Wingdings" w:hint="default"/>
      </w:rPr>
    </w:lvl>
  </w:abstractNum>
  <w:abstractNum w:abstractNumId="12" w15:restartNumberingAfterBreak="0">
    <w:nsid w:val="35571237"/>
    <w:multiLevelType w:val="hybridMultilevel"/>
    <w:tmpl w:val="12B03174"/>
    <w:lvl w:ilvl="0" w:tplc="9B20B152">
      <w:start w:val="1"/>
      <w:numFmt w:val="lowerRoman"/>
      <w:lvlText w:val="%1."/>
      <w:lvlJc w:val="left"/>
      <w:pPr>
        <w:ind w:left="3240" w:hanging="720"/>
      </w:pPr>
      <w:rPr>
        <w:rFonts w:hint="default"/>
      </w:rPr>
    </w:lvl>
    <w:lvl w:ilvl="1" w:tplc="40090019">
      <w:start w:val="1"/>
      <w:numFmt w:val="lowerLetter"/>
      <w:lvlText w:val="%2."/>
      <w:lvlJc w:val="left"/>
      <w:pPr>
        <w:ind w:left="1440" w:hanging="360"/>
      </w:pPr>
    </w:lvl>
    <w:lvl w:ilvl="2" w:tplc="AB1014F2">
      <w:start w:val="1"/>
      <w:numFmt w:val="lowerLetter"/>
      <w:lvlText w:val="%3)"/>
      <w:lvlJc w:val="left"/>
      <w:pPr>
        <w:ind w:left="2340" w:hanging="360"/>
      </w:pPr>
      <w:rPr>
        <w:rFonts w:hint="default"/>
        <w:b w:val="0"/>
        <w:u w:val="none"/>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6D41F0E"/>
    <w:multiLevelType w:val="hybridMultilevel"/>
    <w:tmpl w:val="25F480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5C42AF"/>
    <w:multiLevelType w:val="hybridMultilevel"/>
    <w:tmpl w:val="DC843DD0"/>
    <w:lvl w:ilvl="0" w:tplc="AB1014F2">
      <w:start w:val="1"/>
      <w:numFmt w:val="lowerLetter"/>
      <w:lvlText w:val="%1)"/>
      <w:lvlJc w:val="left"/>
      <w:pPr>
        <w:ind w:left="234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C409AA"/>
    <w:multiLevelType w:val="multilevel"/>
    <w:tmpl w:val="1C10F40C"/>
    <w:styleLink w:val="CurrentList1"/>
    <w:lvl w:ilvl="0">
      <w:start w:val="1"/>
      <w:numFmt w:val="decimal"/>
      <w:lvlText w:val="%1."/>
      <w:lvlJc w:val="left"/>
      <w:pPr>
        <w:tabs>
          <w:tab w:val="num" w:pos="2202"/>
        </w:tabs>
        <w:ind w:left="2202"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4AB01270"/>
    <w:multiLevelType w:val="multilevel"/>
    <w:tmpl w:val="464C409C"/>
    <w:lvl w:ilvl="0">
      <w:start w:val="5"/>
      <w:numFmt w:val="decimal"/>
      <w:lvlText w:val="%1"/>
      <w:lvlJc w:val="left"/>
      <w:pPr>
        <w:ind w:left="644" w:hanging="360"/>
      </w:pPr>
      <w:rPr>
        <w:rFonts w:hint="default"/>
      </w:rPr>
    </w:lvl>
    <w:lvl w:ilvl="1">
      <w:start w:val="1"/>
      <w:numFmt w:val="decimal"/>
      <w:lvlText w:val="3B.%2"/>
      <w:lvlJc w:val="left"/>
      <w:pPr>
        <w:ind w:left="502" w:hanging="360"/>
      </w:pPr>
      <w:rPr>
        <w:rFonts w:asciiTheme="minorHAnsi" w:hAnsiTheme="minorHAnsi" w:cstheme="minorHAnsi" w:hint="default"/>
        <w:b w:val="0"/>
        <w:i w:val="0"/>
        <w:sz w:val="24"/>
        <w:szCs w:val="24"/>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17" w15:restartNumberingAfterBreak="0">
    <w:nsid w:val="598D3B89"/>
    <w:multiLevelType w:val="hybridMultilevel"/>
    <w:tmpl w:val="4E5442FA"/>
    <w:lvl w:ilvl="0" w:tplc="361ADB9E">
      <w:start w:val="1"/>
      <w:numFmt w:val="lowerLetter"/>
      <w:lvlText w:val="%1."/>
      <w:lvlJc w:val="left"/>
      <w:pPr>
        <w:ind w:left="36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CF20078"/>
    <w:multiLevelType w:val="multilevel"/>
    <w:tmpl w:val="464C409C"/>
    <w:lvl w:ilvl="0">
      <w:start w:val="5"/>
      <w:numFmt w:val="decimal"/>
      <w:lvlText w:val="%1"/>
      <w:lvlJc w:val="left"/>
      <w:pPr>
        <w:ind w:left="644" w:hanging="360"/>
      </w:pPr>
      <w:rPr>
        <w:rFonts w:hint="default"/>
      </w:rPr>
    </w:lvl>
    <w:lvl w:ilvl="1">
      <w:start w:val="1"/>
      <w:numFmt w:val="decimal"/>
      <w:lvlText w:val="3B.%2"/>
      <w:lvlJc w:val="left"/>
      <w:pPr>
        <w:ind w:left="502" w:hanging="360"/>
      </w:pPr>
      <w:rPr>
        <w:rFonts w:asciiTheme="minorHAnsi" w:hAnsiTheme="minorHAnsi" w:cstheme="minorHAnsi" w:hint="default"/>
        <w:b w:val="0"/>
        <w:i w:val="0"/>
        <w:sz w:val="24"/>
        <w:szCs w:val="24"/>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19" w15:restartNumberingAfterBreak="0">
    <w:nsid w:val="5E2736B4"/>
    <w:multiLevelType w:val="hybridMultilevel"/>
    <w:tmpl w:val="C89CA304"/>
    <w:lvl w:ilvl="0" w:tplc="AB1014F2">
      <w:start w:val="1"/>
      <w:numFmt w:val="lowerLetter"/>
      <w:lvlText w:val="%1)"/>
      <w:lvlJc w:val="left"/>
      <w:pPr>
        <w:ind w:left="234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9C6C87"/>
    <w:multiLevelType w:val="multilevel"/>
    <w:tmpl w:val="4A121BC4"/>
    <w:lvl w:ilvl="0">
      <w:start w:val="1"/>
      <w:numFmt w:val="decimal"/>
      <w:pStyle w:val="ListAlpha"/>
      <w:lvlText w:val="%1."/>
      <w:lvlJc w:val="left"/>
      <w:pPr>
        <w:tabs>
          <w:tab w:val="num" w:pos="397"/>
        </w:tabs>
        <w:ind w:left="397" w:hanging="397"/>
      </w:pPr>
      <w:rPr>
        <w:rFonts w:hint="default"/>
        <w:b/>
        <w:i w:val="0"/>
        <w:sz w:val="20"/>
      </w:rPr>
    </w:lvl>
    <w:lvl w:ilvl="1">
      <w:start w:val="1"/>
      <w:numFmt w:val="lowerLetter"/>
      <w:pStyle w:val="ListAlpha"/>
      <w:lvlText w:val="%2."/>
      <w:lvlJc w:val="left"/>
      <w:pPr>
        <w:tabs>
          <w:tab w:val="num" w:pos="794"/>
        </w:tabs>
        <w:ind w:left="794" w:hanging="397"/>
      </w:pPr>
      <w:rPr>
        <w:rFonts w:asciiTheme="minorHAnsi" w:hAnsiTheme="minorHAnsi" w:hint="default"/>
      </w:rPr>
    </w:lvl>
    <w:lvl w:ilvl="2">
      <w:start w:val="1"/>
      <w:numFmt w:val="lowerLetter"/>
      <w:pStyle w:val="ListAlpha2"/>
      <w:lvlText w:val="%3."/>
      <w:lvlJc w:val="left"/>
      <w:pPr>
        <w:tabs>
          <w:tab w:val="num" w:pos="1191"/>
        </w:tabs>
        <w:ind w:left="1191" w:hanging="397"/>
      </w:pPr>
      <w:rPr>
        <w:rFonts w:asciiTheme="minorHAnsi" w:hAnsiTheme="minorHAnsi" w:hint="default"/>
      </w:rPr>
    </w:lvl>
    <w:lvl w:ilvl="3">
      <w:start w:val="1"/>
      <w:numFmt w:val="lowerLetter"/>
      <w:lvlText w:val="%4."/>
      <w:lvlJc w:val="left"/>
      <w:pPr>
        <w:tabs>
          <w:tab w:val="num" w:pos="1588"/>
        </w:tabs>
        <w:ind w:left="1588" w:hanging="397"/>
      </w:pPr>
      <w:rPr>
        <w:rFonts w:asciiTheme="minorHAnsi" w:hAnsiTheme="minorHAnsi" w:hint="default"/>
      </w:rPr>
    </w:lvl>
    <w:lvl w:ilvl="4">
      <w:start w:val="1"/>
      <w:numFmt w:val="lowerLetter"/>
      <w:pStyle w:val="ListAlpha3"/>
      <w:lvlText w:val="%5."/>
      <w:lvlJc w:val="left"/>
      <w:pPr>
        <w:tabs>
          <w:tab w:val="num" w:pos="1985"/>
        </w:tabs>
        <w:ind w:left="1985" w:hanging="397"/>
      </w:pPr>
      <w:rPr>
        <w:rFonts w:asciiTheme="minorHAnsi" w:hAnsiTheme="minorHAnsi" w:hint="default"/>
      </w:rPr>
    </w:lvl>
    <w:lvl w:ilvl="5">
      <w:start w:val="1"/>
      <w:numFmt w:val="lowerLetter"/>
      <w:lvlText w:val="%6."/>
      <w:lvlJc w:val="left"/>
      <w:pPr>
        <w:tabs>
          <w:tab w:val="num" w:pos="2381"/>
        </w:tabs>
        <w:ind w:left="2381" w:hanging="396"/>
      </w:pPr>
      <w:rPr>
        <w:rFonts w:asciiTheme="minorHAnsi" w:hAnsiTheme="minorHAnsi" w:hint="default"/>
      </w:rPr>
    </w:lvl>
    <w:lvl w:ilvl="6">
      <w:start w:val="1"/>
      <w:numFmt w:val="lowerLetter"/>
      <w:lvlText w:val="%7."/>
      <w:lvlJc w:val="left"/>
      <w:pPr>
        <w:tabs>
          <w:tab w:val="num" w:pos="2778"/>
        </w:tabs>
        <w:ind w:left="2778" w:hanging="397"/>
      </w:pPr>
      <w:rPr>
        <w:rFonts w:asciiTheme="minorHAnsi" w:hAnsiTheme="minorHAnsi" w:hint="default"/>
      </w:rPr>
    </w:lvl>
    <w:lvl w:ilvl="7">
      <w:start w:val="1"/>
      <w:numFmt w:val="lowerLetter"/>
      <w:lvlText w:val="%8."/>
      <w:lvlJc w:val="left"/>
      <w:pPr>
        <w:tabs>
          <w:tab w:val="num" w:pos="3175"/>
        </w:tabs>
        <w:ind w:left="3175" w:hanging="397"/>
      </w:pPr>
      <w:rPr>
        <w:rFonts w:asciiTheme="minorHAnsi" w:hAnsiTheme="minorHAnsi" w:hint="default"/>
      </w:rPr>
    </w:lvl>
    <w:lvl w:ilvl="8">
      <w:start w:val="1"/>
      <w:numFmt w:val="lowerLetter"/>
      <w:lvlText w:val="%9."/>
      <w:lvlJc w:val="left"/>
      <w:pPr>
        <w:tabs>
          <w:tab w:val="num" w:pos="3572"/>
        </w:tabs>
        <w:ind w:left="3572" w:hanging="397"/>
      </w:pPr>
      <w:rPr>
        <w:rFonts w:asciiTheme="minorHAnsi" w:hAnsiTheme="minorHAnsi" w:hint="default"/>
      </w:rPr>
    </w:lvl>
  </w:abstractNum>
  <w:abstractNum w:abstractNumId="21" w15:restartNumberingAfterBreak="0">
    <w:nsid w:val="71EB1693"/>
    <w:multiLevelType w:val="hybridMultilevel"/>
    <w:tmpl w:val="8B6C130E"/>
    <w:lvl w:ilvl="0" w:tplc="0AA4A222">
      <w:start w:val="1"/>
      <w:numFmt w:val="lowerRoman"/>
      <w:lvlText w:val="%1."/>
      <w:lvlJc w:val="left"/>
      <w:pPr>
        <w:ind w:left="1713" w:hanging="360"/>
      </w:pPr>
      <w:rPr>
        <w:rFonts w:hint="default"/>
        <w:b w:val="0"/>
      </w:rPr>
    </w:lvl>
    <w:lvl w:ilvl="1" w:tplc="40090019">
      <w:start w:val="1"/>
      <w:numFmt w:val="lowerLetter"/>
      <w:lvlText w:val="%2."/>
      <w:lvlJc w:val="left"/>
      <w:pPr>
        <w:ind w:left="2433" w:hanging="360"/>
      </w:pPr>
    </w:lvl>
    <w:lvl w:ilvl="2" w:tplc="4009001B" w:tentative="1">
      <w:start w:val="1"/>
      <w:numFmt w:val="lowerRoman"/>
      <w:lvlText w:val="%3."/>
      <w:lvlJc w:val="right"/>
      <w:pPr>
        <w:ind w:left="3153" w:hanging="180"/>
      </w:pPr>
    </w:lvl>
    <w:lvl w:ilvl="3" w:tplc="4009000F" w:tentative="1">
      <w:start w:val="1"/>
      <w:numFmt w:val="decimal"/>
      <w:lvlText w:val="%4."/>
      <w:lvlJc w:val="left"/>
      <w:pPr>
        <w:ind w:left="3873" w:hanging="360"/>
      </w:pPr>
    </w:lvl>
    <w:lvl w:ilvl="4" w:tplc="40090019" w:tentative="1">
      <w:start w:val="1"/>
      <w:numFmt w:val="lowerLetter"/>
      <w:lvlText w:val="%5."/>
      <w:lvlJc w:val="left"/>
      <w:pPr>
        <w:ind w:left="4593" w:hanging="360"/>
      </w:pPr>
    </w:lvl>
    <w:lvl w:ilvl="5" w:tplc="4009001B" w:tentative="1">
      <w:start w:val="1"/>
      <w:numFmt w:val="lowerRoman"/>
      <w:lvlText w:val="%6."/>
      <w:lvlJc w:val="right"/>
      <w:pPr>
        <w:ind w:left="5313" w:hanging="180"/>
      </w:pPr>
    </w:lvl>
    <w:lvl w:ilvl="6" w:tplc="4009000F" w:tentative="1">
      <w:start w:val="1"/>
      <w:numFmt w:val="decimal"/>
      <w:lvlText w:val="%7."/>
      <w:lvlJc w:val="left"/>
      <w:pPr>
        <w:ind w:left="6033" w:hanging="360"/>
      </w:pPr>
    </w:lvl>
    <w:lvl w:ilvl="7" w:tplc="40090019" w:tentative="1">
      <w:start w:val="1"/>
      <w:numFmt w:val="lowerLetter"/>
      <w:lvlText w:val="%8."/>
      <w:lvlJc w:val="left"/>
      <w:pPr>
        <w:ind w:left="6753" w:hanging="360"/>
      </w:pPr>
    </w:lvl>
    <w:lvl w:ilvl="8" w:tplc="4009001B" w:tentative="1">
      <w:start w:val="1"/>
      <w:numFmt w:val="lowerRoman"/>
      <w:lvlText w:val="%9."/>
      <w:lvlJc w:val="right"/>
      <w:pPr>
        <w:ind w:left="7473" w:hanging="180"/>
      </w:pPr>
    </w:lvl>
  </w:abstractNum>
  <w:abstractNum w:abstractNumId="22" w15:restartNumberingAfterBreak="0">
    <w:nsid w:val="721F67B4"/>
    <w:multiLevelType w:val="hybridMultilevel"/>
    <w:tmpl w:val="A07C43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799225BD"/>
    <w:multiLevelType w:val="hybridMultilevel"/>
    <w:tmpl w:val="7A660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7"/>
  </w:num>
  <w:num w:numId="2">
    <w:abstractNumId w:val="18"/>
  </w:num>
  <w:num w:numId="3">
    <w:abstractNumId w:val="9"/>
  </w:num>
  <w:num w:numId="4">
    <w:abstractNumId w:val="0"/>
  </w:num>
  <w:num w:numId="5">
    <w:abstractNumId w:val="15"/>
  </w:num>
  <w:num w:numId="6">
    <w:abstractNumId w:val="20"/>
  </w:num>
  <w:num w:numId="7">
    <w:abstractNumId w:val="2"/>
  </w:num>
  <w:num w:numId="8">
    <w:abstractNumId w:val="6"/>
  </w:num>
  <w:num w:numId="9">
    <w:abstractNumId w:val="8"/>
  </w:num>
  <w:num w:numId="10">
    <w:abstractNumId w:val="12"/>
  </w:num>
  <w:num w:numId="11">
    <w:abstractNumId w:val="3"/>
  </w:num>
  <w:num w:numId="12">
    <w:abstractNumId w:val="5"/>
  </w:num>
  <w:num w:numId="13">
    <w:abstractNumId w:val="1"/>
  </w:num>
  <w:num w:numId="14">
    <w:abstractNumId w:val="22"/>
  </w:num>
  <w:num w:numId="15">
    <w:abstractNumId w:val="23"/>
  </w:num>
  <w:num w:numId="16">
    <w:abstractNumId w:val="4"/>
  </w:num>
  <w:num w:numId="17">
    <w:abstractNumId w:val="13"/>
  </w:num>
  <w:num w:numId="18">
    <w:abstractNumId w:val="10"/>
  </w:num>
  <w:num w:numId="19">
    <w:abstractNumId w:val="17"/>
  </w:num>
  <w:num w:numId="20">
    <w:abstractNumId w:val="14"/>
  </w:num>
  <w:num w:numId="21">
    <w:abstractNumId w:val="19"/>
  </w:num>
  <w:num w:numId="22">
    <w:abstractNumId w:val="11"/>
  </w:num>
  <w:num w:numId="23">
    <w:abstractNumId w:val="16"/>
  </w:num>
  <w:num w:numId="24">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0A3C"/>
    <w:rsid w:val="00000B5A"/>
    <w:rsid w:val="000026AE"/>
    <w:rsid w:val="000031A9"/>
    <w:rsid w:val="00003436"/>
    <w:rsid w:val="000043CD"/>
    <w:rsid w:val="00007721"/>
    <w:rsid w:val="000118D2"/>
    <w:rsid w:val="0001277D"/>
    <w:rsid w:val="00012AD5"/>
    <w:rsid w:val="00013959"/>
    <w:rsid w:val="00013A0B"/>
    <w:rsid w:val="000151DB"/>
    <w:rsid w:val="00016070"/>
    <w:rsid w:val="00017562"/>
    <w:rsid w:val="00017D4D"/>
    <w:rsid w:val="00020E2B"/>
    <w:rsid w:val="00021D2E"/>
    <w:rsid w:val="000221BA"/>
    <w:rsid w:val="000241A0"/>
    <w:rsid w:val="00025C5D"/>
    <w:rsid w:val="00026D53"/>
    <w:rsid w:val="000304C2"/>
    <w:rsid w:val="000314E3"/>
    <w:rsid w:val="000319D0"/>
    <w:rsid w:val="00031D38"/>
    <w:rsid w:val="000331D4"/>
    <w:rsid w:val="000333EC"/>
    <w:rsid w:val="000333F5"/>
    <w:rsid w:val="00033E1F"/>
    <w:rsid w:val="00034DC7"/>
    <w:rsid w:val="00035589"/>
    <w:rsid w:val="00035D83"/>
    <w:rsid w:val="00037174"/>
    <w:rsid w:val="00037183"/>
    <w:rsid w:val="00045E6A"/>
    <w:rsid w:val="00046A21"/>
    <w:rsid w:val="0004737A"/>
    <w:rsid w:val="0004773B"/>
    <w:rsid w:val="00051B8E"/>
    <w:rsid w:val="000527B9"/>
    <w:rsid w:val="00053209"/>
    <w:rsid w:val="00053978"/>
    <w:rsid w:val="00055724"/>
    <w:rsid w:val="00055C51"/>
    <w:rsid w:val="00055D79"/>
    <w:rsid w:val="000578AE"/>
    <w:rsid w:val="00057D18"/>
    <w:rsid w:val="0006053F"/>
    <w:rsid w:val="00060D48"/>
    <w:rsid w:val="00061674"/>
    <w:rsid w:val="00061922"/>
    <w:rsid w:val="0006254A"/>
    <w:rsid w:val="00064455"/>
    <w:rsid w:val="00064C51"/>
    <w:rsid w:val="000712F9"/>
    <w:rsid w:val="00072D4C"/>
    <w:rsid w:val="000738DF"/>
    <w:rsid w:val="000738F8"/>
    <w:rsid w:val="000753DA"/>
    <w:rsid w:val="0007749B"/>
    <w:rsid w:val="0007773E"/>
    <w:rsid w:val="00077C6E"/>
    <w:rsid w:val="000801ED"/>
    <w:rsid w:val="0008083A"/>
    <w:rsid w:val="000834FA"/>
    <w:rsid w:val="0008574F"/>
    <w:rsid w:val="0008597D"/>
    <w:rsid w:val="00086F93"/>
    <w:rsid w:val="0009022A"/>
    <w:rsid w:val="00090296"/>
    <w:rsid w:val="00090E7A"/>
    <w:rsid w:val="0009110E"/>
    <w:rsid w:val="000928ED"/>
    <w:rsid w:val="000929A4"/>
    <w:rsid w:val="00093E2F"/>
    <w:rsid w:val="000951BA"/>
    <w:rsid w:val="000953E1"/>
    <w:rsid w:val="00095563"/>
    <w:rsid w:val="00096784"/>
    <w:rsid w:val="000A013B"/>
    <w:rsid w:val="000A31DA"/>
    <w:rsid w:val="000A627B"/>
    <w:rsid w:val="000A62BD"/>
    <w:rsid w:val="000A6951"/>
    <w:rsid w:val="000A6CB1"/>
    <w:rsid w:val="000A702B"/>
    <w:rsid w:val="000A7DA1"/>
    <w:rsid w:val="000B0885"/>
    <w:rsid w:val="000B0D0D"/>
    <w:rsid w:val="000B2B5F"/>
    <w:rsid w:val="000B2B97"/>
    <w:rsid w:val="000B3D2A"/>
    <w:rsid w:val="000B54B0"/>
    <w:rsid w:val="000B54F6"/>
    <w:rsid w:val="000C0CBA"/>
    <w:rsid w:val="000C22FB"/>
    <w:rsid w:val="000C2997"/>
    <w:rsid w:val="000C4182"/>
    <w:rsid w:val="000C4F3A"/>
    <w:rsid w:val="000C54E0"/>
    <w:rsid w:val="000C66C5"/>
    <w:rsid w:val="000D1C1C"/>
    <w:rsid w:val="000D203C"/>
    <w:rsid w:val="000D2DE2"/>
    <w:rsid w:val="000D312F"/>
    <w:rsid w:val="000D3770"/>
    <w:rsid w:val="000D47B7"/>
    <w:rsid w:val="000D539A"/>
    <w:rsid w:val="000D5B6F"/>
    <w:rsid w:val="000E0129"/>
    <w:rsid w:val="000E029E"/>
    <w:rsid w:val="000E0377"/>
    <w:rsid w:val="000E1393"/>
    <w:rsid w:val="000E1425"/>
    <w:rsid w:val="000E2A47"/>
    <w:rsid w:val="000E38FC"/>
    <w:rsid w:val="000E51AA"/>
    <w:rsid w:val="000E5A92"/>
    <w:rsid w:val="000F04C3"/>
    <w:rsid w:val="000F1B08"/>
    <w:rsid w:val="000F31A8"/>
    <w:rsid w:val="000F3EFF"/>
    <w:rsid w:val="00101FAE"/>
    <w:rsid w:val="0010203A"/>
    <w:rsid w:val="001022E7"/>
    <w:rsid w:val="00102C13"/>
    <w:rsid w:val="00103026"/>
    <w:rsid w:val="00104012"/>
    <w:rsid w:val="001043F2"/>
    <w:rsid w:val="00104572"/>
    <w:rsid w:val="00105242"/>
    <w:rsid w:val="001066A2"/>
    <w:rsid w:val="001066BE"/>
    <w:rsid w:val="00106952"/>
    <w:rsid w:val="001074C9"/>
    <w:rsid w:val="00107B26"/>
    <w:rsid w:val="00110619"/>
    <w:rsid w:val="00110ECF"/>
    <w:rsid w:val="00111789"/>
    <w:rsid w:val="001132A3"/>
    <w:rsid w:val="00114CF4"/>
    <w:rsid w:val="00116E9F"/>
    <w:rsid w:val="00117B83"/>
    <w:rsid w:val="001211E2"/>
    <w:rsid w:val="001219D1"/>
    <w:rsid w:val="00121E57"/>
    <w:rsid w:val="0012459A"/>
    <w:rsid w:val="00124783"/>
    <w:rsid w:val="00126911"/>
    <w:rsid w:val="00127E25"/>
    <w:rsid w:val="00130810"/>
    <w:rsid w:val="001316E1"/>
    <w:rsid w:val="00132D30"/>
    <w:rsid w:val="00132D6A"/>
    <w:rsid w:val="001333D0"/>
    <w:rsid w:val="00135D99"/>
    <w:rsid w:val="00135F1F"/>
    <w:rsid w:val="001360C1"/>
    <w:rsid w:val="00136A8B"/>
    <w:rsid w:val="00136C53"/>
    <w:rsid w:val="00137734"/>
    <w:rsid w:val="00142361"/>
    <w:rsid w:val="00142456"/>
    <w:rsid w:val="001429DA"/>
    <w:rsid w:val="00143FD5"/>
    <w:rsid w:val="00144F0E"/>
    <w:rsid w:val="001458B3"/>
    <w:rsid w:val="00147301"/>
    <w:rsid w:val="001512A0"/>
    <w:rsid w:val="0015206B"/>
    <w:rsid w:val="001527CB"/>
    <w:rsid w:val="00152A84"/>
    <w:rsid w:val="00153350"/>
    <w:rsid w:val="001538FB"/>
    <w:rsid w:val="00153B9E"/>
    <w:rsid w:val="001568A0"/>
    <w:rsid w:val="00160C3C"/>
    <w:rsid w:val="00161E1F"/>
    <w:rsid w:val="00162087"/>
    <w:rsid w:val="00162229"/>
    <w:rsid w:val="00162698"/>
    <w:rsid w:val="00163B0D"/>
    <w:rsid w:val="00163F18"/>
    <w:rsid w:val="0016415C"/>
    <w:rsid w:val="00166685"/>
    <w:rsid w:val="0016699C"/>
    <w:rsid w:val="00166C74"/>
    <w:rsid w:val="00166FDD"/>
    <w:rsid w:val="001675B1"/>
    <w:rsid w:val="00167A35"/>
    <w:rsid w:val="00167E84"/>
    <w:rsid w:val="00171621"/>
    <w:rsid w:val="001722B4"/>
    <w:rsid w:val="00173208"/>
    <w:rsid w:val="0017462A"/>
    <w:rsid w:val="00174A58"/>
    <w:rsid w:val="00177330"/>
    <w:rsid w:val="00180D76"/>
    <w:rsid w:val="00180E89"/>
    <w:rsid w:val="00181AFD"/>
    <w:rsid w:val="00182DE8"/>
    <w:rsid w:val="00183430"/>
    <w:rsid w:val="00183F39"/>
    <w:rsid w:val="00185F6B"/>
    <w:rsid w:val="00185FFC"/>
    <w:rsid w:val="00186045"/>
    <w:rsid w:val="0018607C"/>
    <w:rsid w:val="00186206"/>
    <w:rsid w:val="00186C11"/>
    <w:rsid w:val="00191901"/>
    <w:rsid w:val="0019214A"/>
    <w:rsid w:val="00192E59"/>
    <w:rsid w:val="00194224"/>
    <w:rsid w:val="0019463D"/>
    <w:rsid w:val="001957E9"/>
    <w:rsid w:val="00196433"/>
    <w:rsid w:val="001A047E"/>
    <w:rsid w:val="001A2906"/>
    <w:rsid w:val="001A34D9"/>
    <w:rsid w:val="001A3726"/>
    <w:rsid w:val="001A48D9"/>
    <w:rsid w:val="001A5AEA"/>
    <w:rsid w:val="001A6F84"/>
    <w:rsid w:val="001B07E2"/>
    <w:rsid w:val="001B1636"/>
    <w:rsid w:val="001B1A92"/>
    <w:rsid w:val="001B3A9B"/>
    <w:rsid w:val="001B3F66"/>
    <w:rsid w:val="001B4AE1"/>
    <w:rsid w:val="001B7052"/>
    <w:rsid w:val="001B7DE3"/>
    <w:rsid w:val="001C0529"/>
    <w:rsid w:val="001C1A8F"/>
    <w:rsid w:val="001C2172"/>
    <w:rsid w:val="001C2399"/>
    <w:rsid w:val="001C2C8E"/>
    <w:rsid w:val="001C369C"/>
    <w:rsid w:val="001C6EB6"/>
    <w:rsid w:val="001C6EF9"/>
    <w:rsid w:val="001C76E4"/>
    <w:rsid w:val="001C7A1C"/>
    <w:rsid w:val="001D046D"/>
    <w:rsid w:val="001D0B5E"/>
    <w:rsid w:val="001D0F18"/>
    <w:rsid w:val="001D18BE"/>
    <w:rsid w:val="001D2AF2"/>
    <w:rsid w:val="001D556B"/>
    <w:rsid w:val="001D57B2"/>
    <w:rsid w:val="001D7A44"/>
    <w:rsid w:val="001E05B6"/>
    <w:rsid w:val="001E07F8"/>
    <w:rsid w:val="001E20E6"/>
    <w:rsid w:val="001E3419"/>
    <w:rsid w:val="001E34A2"/>
    <w:rsid w:val="001E42BC"/>
    <w:rsid w:val="001E6951"/>
    <w:rsid w:val="001F0B53"/>
    <w:rsid w:val="001F14E4"/>
    <w:rsid w:val="001F3A05"/>
    <w:rsid w:val="001F3E26"/>
    <w:rsid w:val="001F3E61"/>
    <w:rsid w:val="001F6036"/>
    <w:rsid w:val="001F616A"/>
    <w:rsid w:val="001F64EA"/>
    <w:rsid w:val="001F73EF"/>
    <w:rsid w:val="002002A1"/>
    <w:rsid w:val="00200BB8"/>
    <w:rsid w:val="00201687"/>
    <w:rsid w:val="002016B8"/>
    <w:rsid w:val="00204BC4"/>
    <w:rsid w:val="002052E5"/>
    <w:rsid w:val="00205EEB"/>
    <w:rsid w:val="00206091"/>
    <w:rsid w:val="002103AF"/>
    <w:rsid w:val="002105E2"/>
    <w:rsid w:val="002112E0"/>
    <w:rsid w:val="002113E5"/>
    <w:rsid w:val="002149EA"/>
    <w:rsid w:val="00214C3A"/>
    <w:rsid w:val="002170D9"/>
    <w:rsid w:val="002200C2"/>
    <w:rsid w:val="0022147D"/>
    <w:rsid w:val="0022176C"/>
    <w:rsid w:val="0022408B"/>
    <w:rsid w:val="00224543"/>
    <w:rsid w:val="00224A42"/>
    <w:rsid w:val="002250DE"/>
    <w:rsid w:val="00226136"/>
    <w:rsid w:val="00226EC0"/>
    <w:rsid w:val="00227C8F"/>
    <w:rsid w:val="00231E8D"/>
    <w:rsid w:val="002326B1"/>
    <w:rsid w:val="002326D9"/>
    <w:rsid w:val="00232C3B"/>
    <w:rsid w:val="00232DCE"/>
    <w:rsid w:val="00232F86"/>
    <w:rsid w:val="00234996"/>
    <w:rsid w:val="002354AD"/>
    <w:rsid w:val="00236509"/>
    <w:rsid w:val="00240120"/>
    <w:rsid w:val="00240ACF"/>
    <w:rsid w:val="00242305"/>
    <w:rsid w:val="002429B6"/>
    <w:rsid w:val="002447A3"/>
    <w:rsid w:val="00245218"/>
    <w:rsid w:val="002452E9"/>
    <w:rsid w:val="002456F6"/>
    <w:rsid w:val="00245806"/>
    <w:rsid w:val="00246921"/>
    <w:rsid w:val="00246931"/>
    <w:rsid w:val="00246D67"/>
    <w:rsid w:val="00250789"/>
    <w:rsid w:val="00250CC5"/>
    <w:rsid w:val="0025337B"/>
    <w:rsid w:val="00253DA9"/>
    <w:rsid w:val="0025460F"/>
    <w:rsid w:val="00256B87"/>
    <w:rsid w:val="00261092"/>
    <w:rsid w:val="00262069"/>
    <w:rsid w:val="00266623"/>
    <w:rsid w:val="00266E5F"/>
    <w:rsid w:val="00267897"/>
    <w:rsid w:val="00267956"/>
    <w:rsid w:val="00267CDD"/>
    <w:rsid w:val="00272B8E"/>
    <w:rsid w:val="00273657"/>
    <w:rsid w:val="00274A44"/>
    <w:rsid w:val="0027630C"/>
    <w:rsid w:val="002769DA"/>
    <w:rsid w:val="00282014"/>
    <w:rsid w:val="00282032"/>
    <w:rsid w:val="00282B78"/>
    <w:rsid w:val="00283C90"/>
    <w:rsid w:val="002847DF"/>
    <w:rsid w:val="0028497A"/>
    <w:rsid w:val="002854E2"/>
    <w:rsid w:val="002855DB"/>
    <w:rsid w:val="00285620"/>
    <w:rsid w:val="002903A2"/>
    <w:rsid w:val="00290475"/>
    <w:rsid w:val="00290559"/>
    <w:rsid w:val="002934D8"/>
    <w:rsid w:val="00294B63"/>
    <w:rsid w:val="002972D6"/>
    <w:rsid w:val="0029773E"/>
    <w:rsid w:val="00297A1A"/>
    <w:rsid w:val="00297D54"/>
    <w:rsid w:val="002A37C5"/>
    <w:rsid w:val="002A4241"/>
    <w:rsid w:val="002A438E"/>
    <w:rsid w:val="002A67B7"/>
    <w:rsid w:val="002A7FEC"/>
    <w:rsid w:val="002B04D2"/>
    <w:rsid w:val="002B0F24"/>
    <w:rsid w:val="002B13F4"/>
    <w:rsid w:val="002B16EA"/>
    <w:rsid w:val="002B3648"/>
    <w:rsid w:val="002B399E"/>
    <w:rsid w:val="002B67F7"/>
    <w:rsid w:val="002C13DA"/>
    <w:rsid w:val="002C2705"/>
    <w:rsid w:val="002C28AF"/>
    <w:rsid w:val="002C549B"/>
    <w:rsid w:val="002C6E2B"/>
    <w:rsid w:val="002C6F5A"/>
    <w:rsid w:val="002C7A83"/>
    <w:rsid w:val="002D00BE"/>
    <w:rsid w:val="002D2492"/>
    <w:rsid w:val="002D29BC"/>
    <w:rsid w:val="002D3727"/>
    <w:rsid w:val="002D42B3"/>
    <w:rsid w:val="002D4A9D"/>
    <w:rsid w:val="002D5376"/>
    <w:rsid w:val="002D7AB3"/>
    <w:rsid w:val="002D7DD6"/>
    <w:rsid w:val="002E076A"/>
    <w:rsid w:val="002E0A55"/>
    <w:rsid w:val="002E0FFB"/>
    <w:rsid w:val="002E1D14"/>
    <w:rsid w:val="002E2683"/>
    <w:rsid w:val="002E28C2"/>
    <w:rsid w:val="002E2F28"/>
    <w:rsid w:val="002E3AB5"/>
    <w:rsid w:val="002E44D5"/>
    <w:rsid w:val="002E5993"/>
    <w:rsid w:val="002E5AE8"/>
    <w:rsid w:val="002E6065"/>
    <w:rsid w:val="002E688A"/>
    <w:rsid w:val="002E6FA4"/>
    <w:rsid w:val="002F1A3D"/>
    <w:rsid w:val="002F1D03"/>
    <w:rsid w:val="002F385A"/>
    <w:rsid w:val="002F44F3"/>
    <w:rsid w:val="002F51C3"/>
    <w:rsid w:val="002F7D10"/>
    <w:rsid w:val="00300132"/>
    <w:rsid w:val="00300A71"/>
    <w:rsid w:val="00301B44"/>
    <w:rsid w:val="00303B7D"/>
    <w:rsid w:val="00304423"/>
    <w:rsid w:val="003045C5"/>
    <w:rsid w:val="00305B03"/>
    <w:rsid w:val="003073DA"/>
    <w:rsid w:val="00307A5C"/>
    <w:rsid w:val="00307BEE"/>
    <w:rsid w:val="003118F6"/>
    <w:rsid w:val="00312788"/>
    <w:rsid w:val="00313E96"/>
    <w:rsid w:val="00314323"/>
    <w:rsid w:val="00314E4E"/>
    <w:rsid w:val="00314FE7"/>
    <w:rsid w:val="003155B7"/>
    <w:rsid w:val="00316B23"/>
    <w:rsid w:val="00317752"/>
    <w:rsid w:val="00320792"/>
    <w:rsid w:val="00322543"/>
    <w:rsid w:val="00322F30"/>
    <w:rsid w:val="00322FE4"/>
    <w:rsid w:val="00324533"/>
    <w:rsid w:val="003259A9"/>
    <w:rsid w:val="00326741"/>
    <w:rsid w:val="00326FAE"/>
    <w:rsid w:val="0032724D"/>
    <w:rsid w:val="003272AD"/>
    <w:rsid w:val="00327CF1"/>
    <w:rsid w:val="00330B2B"/>
    <w:rsid w:val="00330C8E"/>
    <w:rsid w:val="00331FA5"/>
    <w:rsid w:val="00333672"/>
    <w:rsid w:val="00333B5A"/>
    <w:rsid w:val="0033465E"/>
    <w:rsid w:val="00335DF8"/>
    <w:rsid w:val="003360F7"/>
    <w:rsid w:val="00336477"/>
    <w:rsid w:val="003369D4"/>
    <w:rsid w:val="0033737D"/>
    <w:rsid w:val="00340D95"/>
    <w:rsid w:val="00341717"/>
    <w:rsid w:val="00342633"/>
    <w:rsid w:val="0034330C"/>
    <w:rsid w:val="0034621A"/>
    <w:rsid w:val="00346AC2"/>
    <w:rsid w:val="00347AB6"/>
    <w:rsid w:val="00347B3B"/>
    <w:rsid w:val="003501CB"/>
    <w:rsid w:val="003506F8"/>
    <w:rsid w:val="00350AD1"/>
    <w:rsid w:val="00350F83"/>
    <w:rsid w:val="00351576"/>
    <w:rsid w:val="00351DF0"/>
    <w:rsid w:val="003520AD"/>
    <w:rsid w:val="0035235D"/>
    <w:rsid w:val="00352433"/>
    <w:rsid w:val="0035347B"/>
    <w:rsid w:val="00354F33"/>
    <w:rsid w:val="00355951"/>
    <w:rsid w:val="00355AFB"/>
    <w:rsid w:val="00361528"/>
    <w:rsid w:val="003615F1"/>
    <w:rsid w:val="0036705C"/>
    <w:rsid w:val="00370801"/>
    <w:rsid w:val="00370A02"/>
    <w:rsid w:val="003739BF"/>
    <w:rsid w:val="003740BA"/>
    <w:rsid w:val="00374716"/>
    <w:rsid w:val="00375909"/>
    <w:rsid w:val="00375A33"/>
    <w:rsid w:val="00377EC5"/>
    <w:rsid w:val="003801B1"/>
    <w:rsid w:val="00380F93"/>
    <w:rsid w:val="00381165"/>
    <w:rsid w:val="00381245"/>
    <w:rsid w:val="00381A51"/>
    <w:rsid w:val="00382599"/>
    <w:rsid w:val="00384C8C"/>
    <w:rsid w:val="00385A95"/>
    <w:rsid w:val="00385C5B"/>
    <w:rsid w:val="00390276"/>
    <w:rsid w:val="003904B3"/>
    <w:rsid w:val="00391FC7"/>
    <w:rsid w:val="003920E4"/>
    <w:rsid w:val="003934AF"/>
    <w:rsid w:val="00396082"/>
    <w:rsid w:val="00397F44"/>
    <w:rsid w:val="003A0AFF"/>
    <w:rsid w:val="003A28C4"/>
    <w:rsid w:val="003A2E79"/>
    <w:rsid w:val="003A608A"/>
    <w:rsid w:val="003B0368"/>
    <w:rsid w:val="003B0CE4"/>
    <w:rsid w:val="003B1C3B"/>
    <w:rsid w:val="003B209A"/>
    <w:rsid w:val="003B269E"/>
    <w:rsid w:val="003B3483"/>
    <w:rsid w:val="003B3C38"/>
    <w:rsid w:val="003B3D47"/>
    <w:rsid w:val="003B5AB3"/>
    <w:rsid w:val="003B5FD5"/>
    <w:rsid w:val="003C004C"/>
    <w:rsid w:val="003C13AF"/>
    <w:rsid w:val="003C1B3E"/>
    <w:rsid w:val="003C1FAD"/>
    <w:rsid w:val="003C212E"/>
    <w:rsid w:val="003C3CAB"/>
    <w:rsid w:val="003C42FB"/>
    <w:rsid w:val="003C5331"/>
    <w:rsid w:val="003C68CD"/>
    <w:rsid w:val="003C7E12"/>
    <w:rsid w:val="003C7E37"/>
    <w:rsid w:val="003D026E"/>
    <w:rsid w:val="003D02DA"/>
    <w:rsid w:val="003D1725"/>
    <w:rsid w:val="003D4ACE"/>
    <w:rsid w:val="003D4ADE"/>
    <w:rsid w:val="003D4D9B"/>
    <w:rsid w:val="003D6A95"/>
    <w:rsid w:val="003D6C73"/>
    <w:rsid w:val="003D6EFE"/>
    <w:rsid w:val="003E011C"/>
    <w:rsid w:val="003E263F"/>
    <w:rsid w:val="003F0376"/>
    <w:rsid w:val="003F2624"/>
    <w:rsid w:val="003F6DE4"/>
    <w:rsid w:val="00400080"/>
    <w:rsid w:val="00400565"/>
    <w:rsid w:val="004005A0"/>
    <w:rsid w:val="0040060B"/>
    <w:rsid w:val="00400E21"/>
    <w:rsid w:val="00400F2A"/>
    <w:rsid w:val="00401E67"/>
    <w:rsid w:val="0040375A"/>
    <w:rsid w:val="0040453C"/>
    <w:rsid w:val="00404BFA"/>
    <w:rsid w:val="00404E1E"/>
    <w:rsid w:val="00407661"/>
    <w:rsid w:val="00410A75"/>
    <w:rsid w:val="0041294E"/>
    <w:rsid w:val="004131A6"/>
    <w:rsid w:val="00413366"/>
    <w:rsid w:val="00414944"/>
    <w:rsid w:val="00414AE8"/>
    <w:rsid w:val="00416BA6"/>
    <w:rsid w:val="00416FA8"/>
    <w:rsid w:val="0041784D"/>
    <w:rsid w:val="0042059D"/>
    <w:rsid w:val="004214C2"/>
    <w:rsid w:val="004230F0"/>
    <w:rsid w:val="00424816"/>
    <w:rsid w:val="00425317"/>
    <w:rsid w:val="00426CA3"/>
    <w:rsid w:val="00427890"/>
    <w:rsid w:val="004309FD"/>
    <w:rsid w:val="0043151E"/>
    <w:rsid w:val="004315E7"/>
    <w:rsid w:val="00433945"/>
    <w:rsid w:val="00433D7A"/>
    <w:rsid w:val="004346F3"/>
    <w:rsid w:val="00440D38"/>
    <w:rsid w:val="00442078"/>
    <w:rsid w:val="0044324E"/>
    <w:rsid w:val="00443941"/>
    <w:rsid w:val="00444D8C"/>
    <w:rsid w:val="00447A79"/>
    <w:rsid w:val="004503C9"/>
    <w:rsid w:val="004509C3"/>
    <w:rsid w:val="00451AEA"/>
    <w:rsid w:val="00451BD5"/>
    <w:rsid w:val="00453411"/>
    <w:rsid w:val="00453451"/>
    <w:rsid w:val="0045410E"/>
    <w:rsid w:val="00454D6A"/>
    <w:rsid w:val="00455077"/>
    <w:rsid w:val="00456332"/>
    <w:rsid w:val="00456414"/>
    <w:rsid w:val="004572C4"/>
    <w:rsid w:val="004576D7"/>
    <w:rsid w:val="004576F1"/>
    <w:rsid w:val="004604D7"/>
    <w:rsid w:val="00460DE1"/>
    <w:rsid w:val="004613FD"/>
    <w:rsid w:val="00461D7C"/>
    <w:rsid w:val="00463434"/>
    <w:rsid w:val="00463905"/>
    <w:rsid w:val="0046579A"/>
    <w:rsid w:val="004657BD"/>
    <w:rsid w:val="00465C68"/>
    <w:rsid w:val="00465F46"/>
    <w:rsid w:val="00466987"/>
    <w:rsid w:val="004669ED"/>
    <w:rsid w:val="00466F82"/>
    <w:rsid w:val="0047037B"/>
    <w:rsid w:val="00474A00"/>
    <w:rsid w:val="004755F5"/>
    <w:rsid w:val="00475A95"/>
    <w:rsid w:val="0047638F"/>
    <w:rsid w:val="00476730"/>
    <w:rsid w:val="00477FAC"/>
    <w:rsid w:val="00482077"/>
    <w:rsid w:val="00483128"/>
    <w:rsid w:val="00483AD2"/>
    <w:rsid w:val="00483BC9"/>
    <w:rsid w:val="0048435B"/>
    <w:rsid w:val="00486796"/>
    <w:rsid w:val="00486849"/>
    <w:rsid w:val="004900C9"/>
    <w:rsid w:val="00490A0F"/>
    <w:rsid w:val="00491022"/>
    <w:rsid w:val="00491734"/>
    <w:rsid w:val="00492532"/>
    <w:rsid w:val="00492D04"/>
    <w:rsid w:val="004930CA"/>
    <w:rsid w:val="00494269"/>
    <w:rsid w:val="00497B4B"/>
    <w:rsid w:val="00497BC3"/>
    <w:rsid w:val="00497E40"/>
    <w:rsid w:val="004A02B1"/>
    <w:rsid w:val="004A1E64"/>
    <w:rsid w:val="004A1FDD"/>
    <w:rsid w:val="004A27DC"/>
    <w:rsid w:val="004A3FC5"/>
    <w:rsid w:val="004A4452"/>
    <w:rsid w:val="004A4B30"/>
    <w:rsid w:val="004A510B"/>
    <w:rsid w:val="004A524F"/>
    <w:rsid w:val="004A695A"/>
    <w:rsid w:val="004A790F"/>
    <w:rsid w:val="004B1F56"/>
    <w:rsid w:val="004B333D"/>
    <w:rsid w:val="004B3ACC"/>
    <w:rsid w:val="004B3C55"/>
    <w:rsid w:val="004B622B"/>
    <w:rsid w:val="004B6CBC"/>
    <w:rsid w:val="004B71E9"/>
    <w:rsid w:val="004C29A0"/>
    <w:rsid w:val="004C2FD7"/>
    <w:rsid w:val="004C4CD2"/>
    <w:rsid w:val="004C70DB"/>
    <w:rsid w:val="004D3B01"/>
    <w:rsid w:val="004D42C1"/>
    <w:rsid w:val="004D5DE5"/>
    <w:rsid w:val="004D689E"/>
    <w:rsid w:val="004D6975"/>
    <w:rsid w:val="004E1680"/>
    <w:rsid w:val="004E1EC1"/>
    <w:rsid w:val="004E3943"/>
    <w:rsid w:val="004E5681"/>
    <w:rsid w:val="004F0E8D"/>
    <w:rsid w:val="004F14E8"/>
    <w:rsid w:val="004F1A32"/>
    <w:rsid w:val="004F1C54"/>
    <w:rsid w:val="004F3096"/>
    <w:rsid w:val="004F359D"/>
    <w:rsid w:val="004F3E8D"/>
    <w:rsid w:val="004F5B6E"/>
    <w:rsid w:val="004F6920"/>
    <w:rsid w:val="00502429"/>
    <w:rsid w:val="00502799"/>
    <w:rsid w:val="0050472A"/>
    <w:rsid w:val="00504763"/>
    <w:rsid w:val="0050504A"/>
    <w:rsid w:val="00505D1B"/>
    <w:rsid w:val="00505F19"/>
    <w:rsid w:val="00510628"/>
    <w:rsid w:val="00510749"/>
    <w:rsid w:val="00510F08"/>
    <w:rsid w:val="005150D3"/>
    <w:rsid w:val="00516685"/>
    <w:rsid w:val="0052094A"/>
    <w:rsid w:val="00520F41"/>
    <w:rsid w:val="00521AA2"/>
    <w:rsid w:val="005269A2"/>
    <w:rsid w:val="00530C07"/>
    <w:rsid w:val="00530D77"/>
    <w:rsid w:val="00533CAA"/>
    <w:rsid w:val="00533FB2"/>
    <w:rsid w:val="00534405"/>
    <w:rsid w:val="00534A9D"/>
    <w:rsid w:val="0053575D"/>
    <w:rsid w:val="00540A84"/>
    <w:rsid w:val="00542F63"/>
    <w:rsid w:val="00542FBE"/>
    <w:rsid w:val="00543701"/>
    <w:rsid w:val="00543805"/>
    <w:rsid w:val="00544935"/>
    <w:rsid w:val="00545298"/>
    <w:rsid w:val="005453E1"/>
    <w:rsid w:val="005459BF"/>
    <w:rsid w:val="00545ED4"/>
    <w:rsid w:val="005466D5"/>
    <w:rsid w:val="00550A14"/>
    <w:rsid w:val="00551056"/>
    <w:rsid w:val="00554F9E"/>
    <w:rsid w:val="00554FBC"/>
    <w:rsid w:val="0055768F"/>
    <w:rsid w:val="005601E0"/>
    <w:rsid w:val="00561517"/>
    <w:rsid w:val="00567322"/>
    <w:rsid w:val="0056797A"/>
    <w:rsid w:val="00567B6A"/>
    <w:rsid w:val="00567DD0"/>
    <w:rsid w:val="00571218"/>
    <w:rsid w:val="00573060"/>
    <w:rsid w:val="00573680"/>
    <w:rsid w:val="00574CBC"/>
    <w:rsid w:val="00574E73"/>
    <w:rsid w:val="0057629A"/>
    <w:rsid w:val="0057675C"/>
    <w:rsid w:val="00577D61"/>
    <w:rsid w:val="0058073A"/>
    <w:rsid w:val="005809C1"/>
    <w:rsid w:val="005819E1"/>
    <w:rsid w:val="00581B03"/>
    <w:rsid w:val="0058517A"/>
    <w:rsid w:val="00585826"/>
    <w:rsid w:val="00586357"/>
    <w:rsid w:val="005869DD"/>
    <w:rsid w:val="00586EF3"/>
    <w:rsid w:val="00590736"/>
    <w:rsid w:val="00591495"/>
    <w:rsid w:val="00592283"/>
    <w:rsid w:val="00592370"/>
    <w:rsid w:val="0059247F"/>
    <w:rsid w:val="00593238"/>
    <w:rsid w:val="00593B6F"/>
    <w:rsid w:val="00593E08"/>
    <w:rsid w:val="005941EB"/>
    <w:rsid w:val="00594445"/>
    <w:rsid w:val="0059454D"/>
    <w:rsid w:val="005953E3"/>
    <w:rsid w:val="00597FE5"/>
    <w:rsid w:val="005A0D6A"/>
    <w:rsid w:val="005A1677"/>
    <w:rsid w:val="005A1970"/>
    <w:rsid w:val="005A3CE0"/>
    <w:rsid w:val="005A543E"/>
    <w:rsid w:val="005A562F"/>
    <w:rsid w:val="005B06CA"/>
    <w:rsid w:val="005B1F87"/>
    <w:rsid w:val="005B25EF"/>
    <w:rsid w:val="005B3832"/>
    <w:rsid w:val="005B52B4"/>
    <w:rsid w:val="005B6138"/>
    <w:rsid w:val="005C0AA0"/>
    <w:rsid w:val="005C0B73"/>
    <w:rsid w:val="005C13C3"/>
    <w:rsid w:val="005C224A"/>
    <w:rsid w:val="005C2C18"/>
    <w:rsid w:val="005C3F34"/>
    <w:rsid w:val="005C42D0"/>
    <w:rsid w:val="005C542C"/>
    <w:rsid w:val="005C6D19"/>
    <w:rsid w:val="005C6EBD"/>
    <w:rsid w:val="005D0BC5"/>
    <w:rsid w:val="005D1348"/>
    <w:rsid w:val="005D1421"/>
    <w:rsid w:val="005D2044"/>
    <w:rsid w:val="005D4F6F"/>
    <w:rsid w:val="005D521D"/>
    <w:rsid w:val="005D6466"/>
    <w:rsid w:val="005D69F6"/>
    <w:rsid w:val="005D701F"/>
    <w:rsid w:val="005E1597"/>
    <w:rsid w:val="005E4DA5"/>
    <w:rsid w:val="005E5676"/>
    <w:rsid w:val="005E7738"/>
    <w:rsid w:val="005E7A5E"/>
    <w:rsid w:val="005F0806"/>
    <w:rsid w:val="005F2658"/>
    <w:rsid w:val="005F29BC"/>
    <w:rsid w:val="005F2A63"/>
    <w:rsid w:val="005F2EB2"/>
    <w:rsid w:val="005F4D5E"/>
    <w:rsid w:val="005F5256"/>
    <w:rsid w:val="005F66E1"/>
    <w:rsid w:val="005F69AC"/>
    <w:rsid w:val="0060276B"/>
    <w:rsid w:val="00602C59"/>
    <w:rsid w:val="00602DB7"/>
    <w:rsid w:val="00603749"/>
    <w:rsid w:val="006041BB"/>
    <w:rsid w:val="006046E1"/>
    <w:rsid w:val="00605B01"/>
    <w:rsid w:val="00607A89"/>
    <w:rsid w:val="00610AE8"/>
    <w:rsid w:val="006117B5"/>
    <w:rsid w:val="006125CF"/>
    <w:rsid w:val="006126EC"/>
    <w:rsid w:val="006132A0"/>
    <w:rsid w:val="006136D2"/>
    <w:rsid w:val="0061488D"/>
    <w:rsid w:val="00616E91"/>
    <w:rsid w:val="00617B2E"/>
    <w:rsid w:val="00620734"/>
    <w:rsid w:val="0062261E"/>
    <w:rsid w:val="006245BA"/>
    <w:rsid w:val="006249C3"/>
    <w:rsid w:val="0062652E"/>
    <w:rsid w:val="006339B0"/>
    <w:rsid w:val="006341B1"/>
    <w:rsid w:val="00637363"/>
    <w:rsid w:val="006376B7"/>
    <w:rsid w:val="0064073F"/>
    <w:rsid w:val="0064101D"/>
    <w:rsid w:val="00641B3F"/>
    <w:rsid w:val="00645E75"/>
    <w:rsid w:val="00647A95"/>
    <w:rsid w:val="00650254"/>
    <w:rsid w:val="00650C27"/>
    <w:rsid w:val="006515B8"/>
    <w:rsid w:val="00651B7A"/>
    <w:rsid w:val="00653A9A"/>
    <w:rsid w:val="006553E5"/>
    <w:rsid w:val="0065642B"/>
    <w:rsid w:val="00657622"/>
    <w:rsid w:val="00657C48"/>
    <w:rsid w:val="00657F7F"/>
    <w:rsid w:val="00661AF5"/>
    <w:rsid w:val="0066224B"/>
    <w:rsid w:val="00662340"/>
    <w:rsid w:val="00662AB8"/>
    <w:rsid w:val="00662B31"/>
    <w:rsid w:val="00662FF2"/>
    <w:rsid w:val="00664DCF"/>
    <w:rsid w:val="0066593A"/>
    <w:rsid w:val="00665E26"/>
    <w:rsid w:val="00670693"/>
    <w:rsid w:val="006706F2"/>
    <w:rsid w:val="006724C4"/>
    <w:rsid w:val="0067316F"/>
    <w:rsid w:val="006736C9"/>
    <w:rsid w:val="00674513"/>
    <w:rsid w:val="00674629"/>
    <w:rsid w:val="00675229"/>
    <w:rsid w:val="006755E7"/>
    <w:rsid w:val="0067709D"/>
    <w:rsid w:val="006812F7"/>
    <w:rsid w:val="00681C2C"/>
    <w:rsid w:val="00686FE1"/>
    <w:rsid w:val="0068786A"/>
    <w:rsid w:val="006903ED"/>
    <w:rsid w:val="006903EE"/>
    <w:rsid w:val="00690B38"/>
    <w:rsid w:val="00690C87"/>
    <w:rsid w:val="00690E02"/>
    <w:rsid w:val="00691B16"/>
    <w:rsid w:val="0069269C"/>
    <w:rsid w:val="006926DD"/>
    <w:rsid w:val="00692AB1"/>
    <w:rsid w:val="00693A5B"/>
    <w:rsid w:val="00693F32"/>
    <w:rsid w:val="00694293"/>
    <w:rsid w:val="006944E9"/>
    <w:rsid w:val="0069561B"/>
    <w:rsid w:val="0069766A"/>
    <w:rsid w:val="006A0164"/>
    <w:rsid w:val="006A0459"/>
    <w:rsid w:val="006A1AEB"/>
    <w:rsid w:val="006A2046"/>
    <w:rsid w:val="006A2361"/>
    <w:rsid w:val="006A2491"/>
    <w:rsid w:val="006A420C"/>
    <w:rsid w:val="006A4364"/>
    <w:rsid w:val="006A4FF3"/>
    <w:rsid w:val="006A559F"/>
    <w:rsid w:val="006A5D49"/>
    <w:rsid w:val="006A649C"/>
    <w:rsid w:val="006A68C8"/>
    <w:rsid w:val="006A759E"/>
    <w:rsid w:val="006B04E4"/>
    <w:rsid w:val="006B0B7D"/>
    <w:rsid w:val="006B1DB5"/>
    <w:rsid w:val="006B6ECA"/>
    <w:rsid w:val="006C10A9"/>
    <w:rsid w:val="006C3AEE"/>
    <w:rsid w:val="006C6C36"/>
    <w:rsid w:val="006C71AF"/>
    <w:rsid w:val="006D0881"/>
    <w:rsid w:val="006D1673"/>
    <w:rsid w:val="006D2E03"/>
    <w:rsid w:val="006D3A15"/>
    <w:rsid w:val="006D46F2"/>
    <w:rsid w:val="006D51F4"/>
    <w:rsid w:val="006D56D2"/>
    <w:rsid w:val="006D57A6"/>
    <w:rsid w:val="006D597C"/>
    <w:rsid w:val="006D6898"/>
    <w:rsid w:val="006D7EB1"/>
    <w:rsid w:val="006E1EB0"/>
    <w:rsid w:val="006E2449"/>
    <w:rsid w:val="006E278B"/>
    <w:rsid w:val="006E2956"/>
    <w:rsid w:val="006E2B62"/>
    <w:rsid w:val="006E302C"/>
    <w:rsid w:val="006E40F2"/>
    <w:rsid w:val="006E4599"/>
    <w:rsid w:val="006E5F58"/>
    <w:rsid w:val="006E65C9"/>
    <w:rsid w:val="006F2683"/>
    <w:rsid w:val="006F7723"/>
    <w:rsid w:val="006F7AA1"/>
    <w:rsid w:val="00700CBD"/>
    <w:rsid w:val="00701DD2"/>
    <w:rsid w:val="00702503"/>
    <w:rsid w:val="0070257B"/>
    <w:rsid w:val="00703179"/>
    <w:rsid w:val="0070490C"/>
    <w:rsid w:val="00705408"/>
    <w:rsid w:val="00710202"/>
    <w:rsid w:val="00711116"/>
    <w:rsid w:val="007117E8"/>
    <w:rsid w:val="00711827"/>
    <w:rsid w:val="0071375B"/>
    <w:rsid w:val="0071582A"/>
    <w:rsid w:val="00715981"/>
    <w:rsid w:val="007178B4"/>
    <w:rsid w:val="00720FA3"/>
    <w:rsid w:val="00721059"/>
    <w:rsid w:val="00721E30"/>
    <w:rsid w:val="00722333"/>
    <w:rsid w:val="00722EFD"/>
    <w:rsid w:val="007247F7"/>
    <w:rsid w:val="00725269"/>
    <w:rsid w:val="00725CD9"/>
    <w:rsid w:val="00726DAB"/>
    <w:rsid w:val="007330AF"/>
    <w:rsid w:val="007336EB"/>
    <w:rsid w:val="00733B59"/>
    <w:rsid w:val="00736579"/>
    <w:rsid w:val="00736B56"/>
    <w:rsid w:val="00741588"/>
    <w:rsid w:val="00742765"/>
    <w:rsid w:val="007457E6"/>
    <w:rsid w:val="00746E4E"/>
    <w:rsid w:val="00747D5D"/>
    <w:rsid w:val="00751215"/>
    <w:rsid w:val="00754D22"/>
    <w:rsid w:val="00755354"/>
    <w:rsid w:val="00755368"/>
    <w:rsid w:val="00755669"/>
    <w:rsid w:val="00755780"/>
    <w:rsid w:val="007603DF"/>
    <w:rsid w:val="00761F91"/>
    <w:rsid w:val="00763174"/>
    <w:rsid w:val="0076371A"/>
    <w:rsid w:val="00763BE1"/>
    <w:rsid w:val="00765E76"/>
    <w:rsid w:val="00766817"/>
    <w:rsid w:val="007678B7"/>
    <w:rsid w:val="0077139E"/>
    <w:rsid w:val="007715A3"/>
    <w:rsid w:val="00771E17"/>
    <w:rsid w:val="00771F44"/>
    <w:rsid w:val="0077442D"/>
    <w:rsid w:val="007819C3"/>
    <w:rsid w:val="007824FA"/>
    <w:rsid w:val="00783092"/>
    <w:rsid w:val="0078322A"/>
    <w:rsid w:val="00783771"/>
    <w:rsid w:val="00784E77"/>
    <w:rsid w:val="00787027"/>
    <w:rsid w:val="0078739E"/>
    <w:rsid w:val="00787DC7"/>
    <w:rsid w:val="00790797"/>
    <w:rsid w:val="00790C34"/>
    <w:rsid w:val="00790E6C"/>
    <w:rsid w:val="00791CD5"/>
    <w:rsid w:val="007924BD"/>
    <w:rsid w:val="0079263D"/>
    <w:rsid w:val="007930EE"/>
    <w:rsid w:val="00794265"/>
    <w:rsid w:val="007954A1"/>
    <w:rsid w:val="007955F5"/>
    <w:rsid w:val="0079617C"/>
    <w:rsid w:val="007A021A"/>
    <w:rsid w:val="007A3390"/>
    <w:rsid w:val="007A3406"/>
    <w:rsid w:val="007A5E8D"/>
    <w:rsid w:val="007A6ACA"/>
    <w:rsid w:val="007A7A81"/>
    <w:rsid w:val="007B0E91"/>
    <w:rsid w:val="007B12A3"/>
    <w:rsid w:val="007B4559"/>
    <w:rsid w:val="007B4985"/>
    <w:rsid w:val="007B537B"/>
    <w:rsid w:val="007B576B"/>
    <w:rsid w:val="007C08C1"/>
    <w:rsid w:val="007C17EA"/>
    <w:rsid w:val="007C1986"/>
    <w:rsid w:val="007C25CE"/>
    <w:rsid w:val="007C27F8"/>
    <w:rsid w:val="007C2DE1"/>
    <w:rsid w:val="007C4A42"/>
    <w:rsid w:val="007C520E"/>
    <w:rsid w:val="007C59EE"/>
    <w:rsid w:val="007C641C"/>
    <w:rsid w:val="007C7466"/>
    <w:rsid w:val="007D016B"/>
    <w:rsid w:val="007D2DF4"/>
    <w:rsid w:val="007D3162"/>
    <w:rsid w:val="007D37C9"/>
    <w:rsid w:val="007D393D"/>
    <w:rsid w:val="007D5E0D"/>
    <w:rsid w:val="007D6250"/>
    <w:rsid w:val="007E29DD"/>
    <w:rsid w:val="007E2F43"/>
    <w:rsid w:val="007E43F2"/>
    <w:rsid w:val="007E47C7"/>
    <w:rsid w:val="007E6533"/>
    <w:rsid w:val="007E7D38"/>
    <w:rsid w:val="007E7D8A"/>
    <w:rsid w:val="007F00FB"/>
    <w:rsid w:val="007F0258"/>
    <w:rsid w:val="007F128E"/>
    <w:rsid w:val="007F220D"/>
    <w:rsid w:val="007F31AC"/>
    <w:rsid w:val="007F3987"/>
    <w:rsid w:val="007F4B56"/>
    <w:rsid w:val="007F6920"/>
    <w:rsid w:val="007F70AE"/>
    <w:rsid w:val="00800298"/>
    <w:rsid w:val="00800933"/>
    <w:rsid w:val="008011BA"/>
    <w:rsid w:val="008035F6"/>
    <w:rsid w:val="00805090"/>
    <w:rsid w:val="00805D1F"/>
    <w:rsid w:val="008077DD"/>
    <w:rsid w:val="00807ADE"/>
    <w:rsid w:val="00811211"/>
    <w:rsid w:val="0081249F"/>
    <w:rsid w:val="00813F34"/>
    <w:rsid w:val="00815016"/>
    <w:rsid w:val="00816FFD"/>
    <w:rsid w:val="00817CBA"/>
    <w:rsid w:val="0082097C"/>
    <w:rsid w:val="00821A65"/>
    <w:rsid w:val="008246B0"/>
    <w:rsid w:val="00824868"/>
    <w:rsid w:val="00827058"/>
    <w:rsid w:val="00827F26"/>
    <w:rsid w:val="00831E65"/>
    <w:rsid w:val="00832A5D"/>
    <w:rsid w:val="00833F4D"/>
    <w:rsid w:val="008350BE"/>
    <w:rsid w:val="0083545A"/>
    <w:rsid w:val="008363FE"/>
    <w:rsid w:val="008373C3"/>
    <w:rsid w:val="00840273"/>
    <w:rsid w:val="00840A08"/>
    <w:rsid w:val="00842643"/>
    <w:rsid w:val="00842D42"/>
    <w:rsid w:val="00842D89"/>
    <w:rsid w:val="00844059"/>
    <w:rsid w:val="008448CB"/>
    <w:rsid w:val="00844A55"/>
    <w:rsid w:val="00845D9D"/>
    <w:rsid w:val="00847292"/>
    <w:rsid w:val="008474DF"/>
    <w:rsid w:val="008543A6"/>
    <w:rsid w:val="00857344"/>
    <w:rsid w:val="00860051"/>
    <w:rsid w:val="00861A2A"/>
    <w:rsid w:val="00861DB9"/>
    <w:rsid w:val="00861F64"/>
    <w:rsid w:val="00862721"/>
    <w:rsid w:val="008654B0"/>
    <w:rsid w:val="00865B54"/>
    <w:rsid w:val="0086677A"/>
    <w:rsid w:val="0086701D"/>
    <w:rsid w:val="008679BF"/>
    <w:rsid w:val="00867B74"/>
    <w:rsid w:val="008700A8"/>
    <w:rsid w:val="00870693"/>
    <w:rsid w:val="008719B4"/>
    <w:rsid w:val="0087267D"/>
    <w:rsid w:val="008730F9"/>
    <w:rsid w:val="008738D5"/>
    <w:rsid w:val="008741A4"/>
    <w:rsid w:val="008756AF"/>
    <w:rsid w:val="00877108"/>
    <w:rsid w:val="0088383B"/>
    <w:rsid w:val="00883CCB"/>
    <w:rsid w:val="0088551B"/>
    <w:rsid w:val="008863A4"/>
    <w:rsid w:val="008904DA"/>
    <w:rsid w:val="00890BB2"/>
    <w:rsid w:val="00890E81"/>
    <w:rsid w:val="00891CC8"/>
    <w:rsid w:val="00892C31"/>
    <w:rsid w:val="00892F6D"/>
    <w:rsid w:val="00895B22"/>
    <w:rsid w:val="00895B28"/>
    <w:rsid w:val="0089714A"/>
    <w:rsid w:val="00897545"/>
    <w:rsid w:val="008A104F"/>
    <w:rsid w:val="008A5E40"/>
    <w:rsid w:val="008A5F6E"/>
    <w:rsid w:val="008A6628"/>
    <w:rsid w:val="008A77D0"/>
    <w:rsid w:val="008B0A6B"/>
    <w:rsid w:val="008B13ED"/>
    <w:rsid w:val="008B18A0"/>
    <w:rsid w:val="008B3871"/>
    <w:rsid w:val="008B3A34"/>
    <w:rsid w:val="008B4D46"/>
    <w:rsid w:val="008B5373"/>
    <w:rsid w:val="008B53BA"/>
    <w:rsid w:val="008B5A59"/>
    <w:rsid w:val="008B6FA9"/>
    <w:rsid w:val="008B7913"/>
    <w:rsid w:val="008C09C4"/>
    <w:rsid w:val="008C19DE"/>
    <w:rsid w:val="008C2840"/>
    <w:rsid w:val="008C4A02"/>
    <w:rsid w:val="008C4CDB"/>
    <w:rsid w:val="008C647D"/>
    <w:rsid w:val="008D06B2"/>
    <w:rsid w:val="008D0E66"/>
    <w:rsid w:val="008D0F05"/>
    <w:rsid w:val="008D13E1"/>
    <w:rsid w:val="008D2DED"/>
    <w:rsid w:val="008D39FB"/>
    <w:rsid w:val="008D3FD1"/>
    <w:rsid w:val="008D52E1"/>
    <w:rsid w:val="008D680F"/>
    <w:rsid w:val="008E086A"/>
    <w:rsid w:val="008E1AA5"/>
    <w:rsid w:val="008E3AEE"/>
    <w:rsid w:val="008E5DCA"/>
    <w:rsid w:val="008E5EF2"/>
    <w:rsid w:val="008E6D02"/>
    <w:rsid w:val="008E6EFF"/>
    <w:rsid w:val="008E6F91"/>
    <w:rsid w:val="008E7065"/>
    <w:rsid w:val="008E709A"/>
    <w:rsid w:val="008E7DC2"/>
    <w:rsid w:val="008F05A8"/>
    <w:rsid w:val="008F0C45"/>
    <w:rsid w:val="008F1236"/>
    <w:rsid w:val="008F490A"/>
    <w:rsid w:val="008F5F8C"/>
    <w:rsid w:val="008F6B63"/>
    <w:rsid w:val="0090154C"/>
    <w:rsid w:val="00901592"/>
    <w:rsid w:val="00903437"/>
    <w:rsid w:val="00905329"/>
    <w:rsid w:val="00906C1C"/>
    <w:rsid w:val="00907869"/>
    <w:rsid w:val="00907A2B"/>
    <w:rsid w:val="009102B9"/>
    <w:rsid w:val="00911808"/>
    <w:rsid w:val="00912A24"/>
    <w:rsid w:val="009141CD"/>
    <w:rsid w:val="009146AE"/>
    <w:rsid w:val="00914F09"/>
    <w:rsid w:val="00915C7C"/>
    <w:rsid w:val="009207BF"/>
    <w:rsid w:val="00920F55"/>
    <w:rsid w:val="00922260"/>
    <w:rsid w:val="009229F0"/>
    <w:rsid w:val="009249FD"/>
    <w:rsid w:val="00926BF3"/>
    <w:rsid w:val="00927771"/>
    <w:rsid w:val="009314E8"/>
    <w:rsid w:val="0093388B"/>
    <w:rsid w:val="00935266"/>
    <w:rsid w:val="00935527"/>
    <w:rsid w:val="00936801"/>
    <w:rsid w:val="00936D2D"/>
    <w:rsid w:val="00937BC7"/>
    <w:rsid w:val="00942006"/>
    <w:rsid w:val="0094200E"/>
    <w:rsid w:val="009451C6"/>
    <w:rsid w:val="00945680"/>
    <w:rsid w:val="0094579F"/>
    <w:rsid w:val="00946C8D"/>
    <w:rsid w:val="009500C5"/>
    <w:rsid w:val="00951584"/>
    <w:rsid w:val="00951736"/>
    <w:rsid w:val="0095185F"/>
    <w:rsid w:val="00954FE2"/>
    <w:rsid w:val="0095531F"/>
    <w:rsid w:val="009558A0"/>
    <w:rsid w:val="00956DFE"/>
    <w:rsid w:val="0096183D"/>
    <w:rsid w:val="00963F80"/>
    <w:rsid w:val="009647DD"/>
    <w:rsid w:val="009658A7"/>
    <w:rsid w:val="009664EA"/>
    <w:rsid w:val="00966E66"/>
    <w:rsid w:val="00966F83"/>
    <w:rsid w:val="00967793"/>
    <w:rsid w:val="00970F29"/>
    <w:rsid w:val="0097397D"/>
    <w:rsid w:val="00973B9F"/>
    <w:rsid w:val="00973C48"/>
    <w:rsid w:val="00973DA9"/>
    <w:rsid w:val="00975420"/>
    <w:rsid w:val="0097725E"/>
    <w:rsid w:val="00977885"/>
    <w:rsid w:val="00980196"/>
    <w:rsid w:val="009801C6"/>
    <w:rsid w:val="009804B8"/>
    <w:rsid w:val="009826B5"/>
    <w:rsid w:val="00983B4A"/>
    <w:rsid w:val="00984D46"/>
    <w:rsid w:val="009867C9"/>
    <w:rsid w:val="00986A86"/>
    <w:rsid w:val="00987491"/>
    <w:rsid w:val="00987EBA"/>
    <w:rsid w:val="009911A7"/>
    <w:rsid w:val="009925DD"/>
    <w:rsid w:val="00993B05"/>
    <w:rsid w:val="0099559A"/>
    <w:rsid w:val="0099564F"/>
    <w:rsid w:val="00995C34"/>
    <w:rsid w:val="009960FE"/>
    <w:rsid w:val="00996C4D"/>
    <w:rsid w:val="00997627"/>
    <w:rsid w:val="00997C8A"/>
    <w:rsid w:val="009A029E"/>
    <w:rsid w:val="009A2F22"/>
    <w:rsid w:val="009A3081"/>
    <w:rsid w:val="009A4388"/>
    <w:rsid w:val="009A5B8D"/>
    <w:rsid w:val="009A622E"/>
    <w:rsid w:val="009B0441"/>
    <w:rsid w:val="009B2DAB"/>
    <w:rsid w:val="009B3570"/>
    <w:rsid w:val="009B3BC4"/>
    <w:rsid w:val="009B4395"/>
    <w:rsid w:val="009B562E"/>
    <w:rsid w:val="009B7DF1"/>
    <w:rsid w:val="009C05EA"/>
    <w:rsid w:val="009C11EC"/>
    <w:rsid w:val="009C1B6C"/>
    <w:rsid w:val="009C273D"/>
    <w:rsid w:val="009C473C"/>
    <w:rsid w:val="009C4A81"/>
    <w:rsid w:val="009C4F70"/>
    <w:rsid w:val="009D08BD"/>
    <w:rsid w:val="009D11F6"/>
    <w:rsid w:val="009D28C4"/>
    <w:rsid w:val="009D3896"/>
    <w:rsid w:val="009D3E5C"/>
    <w:rsid w:val="009D494C"/>
    <w:rsid w:val="009D6F7D"/>
    <w:rsid w:val="009D7190"/>
    <w:rsid w:val="009E16BD"/>
    <w:rsid w:val="009E1B0C"/>
    <w:rsid w:val="009E3A94"/>
    <w:rsid w:val="009E5D15"/>
    <w:rsid w:val="009E6560"/>
    <w:rsid w:val="009E6D3E"/>
    <w:rsid w:val="009E75FE"/>
    <w:rsid w:val="009E7F11"/>
    <w:rsid w:val="009F03DE"/>
    <w:rsid w:val="009F1949"/>
    <w:rsid w:val="009F2226"/>
    <w:rsid w:val="009F2C67"/>
    <w:rsid w:val="009F32E7"/>
    <w:rsid w:val="009F3D3D"/>
    <w:rsid w:val="009F4A7A"/>
    <w:rsid w:val="009F6426"/>
    <w:rsid w:val="009F75BC"/>
    <w:rsid w:val="00A01E05"/>
    <w:rsid w:val="00A03864"/>
    <w:rsid w:val="00A04EFC"/>
    <w:rsid w:val="00A05A46"/>
    <w:rsid w:val="00A11A63"/>
    <w:rsid w:val="00A11DF1"/>
    <w:rsid w:val="00A12287"/>
    <w:rsid w:val="00A12E41"/>
    <w:rsid w:val="00A12EBE"/>
    <w:rsid w:val="00A14A57"/>
    <w:rsid w:val="00A16539"/>
    <w:rsid w:val="00A178EA"/>
    <w:rsid w:val="00A20B4A"/>
    <w:rsid w:val="00A20C65"/>
    <w:rsid w:val="00A225C6"/>
    <w:rsid w:val="00A25DCD"/>
    <w:rsid w:val="00A27398"/>
    <w:rsid w:val="00A277E7"/>
    <w:rsid w:val="00A27B56"/>
    <w:rsid w:val="00A30583"/>
    <w:rsid w:val="00A32356"/>
    <w:rsid w:val="00A3254B"/>
    <w:rsid w:val="00A3273E"/>
    <w:rsid w:val="00A33707"/>
    <w:rsid w:val="00A34D07"/>
    <w:rsid w:val="00A35284"/>
    <w:rsid w:val="00A36CCD"/>
    <w:rsid w:val="00A36D9D"/>
    <w:rsid w:val="00A4003A"/>
    <w:rsid w:val="00A4060F"/>
    <w:rsid w:val="00A41C03"/>
    <w:rsid w:val="00A41FB2"/>
    <w:rsid w:val="00A4228B"/>
    <w:rsid w:val="00A4292D"/>
    <w:rsid w:val="00A42FB5"/>
    <w:rsid w:val="00A433F4"/>
    <w:rsid w:val="00A44A3A"/>
    <w:rsid w:val="00A44E07"/>
    <w:rsid w:val="00A4655A"/>
    <w:rsid w:val="00A4724F"/>
    <w:rsid w:val="00A47D69"/>
    <w:rsid w:val="00A50747"/>
    <w:rsid w:val="00A5077A"/>
    <w:rsid w:val="00A546E8"/>
    <w:rsid w:val="00A55DE6"/>
    <w:rsid w:val="00A55E79"/>
    <w:rsid w:val="00A571E5"/>
    <w:rsid w:val="00A603B1"/>
    <w:rsid w:val="00A60701"/>
    <w:rsid w:val="00A60CBA"/>
    <w:rsid w:val="00A64146"/>
    <w:rsid w:val="00A6432A"/>
    <w:rsid w:val="00A660D6"/>
    <w:rsid w:val="00A66A51"/>
    <w:rsid w:val="00A66EBA"/>
    <w:rsid w:val="00A67BB5"/>
    <w:rsid w:val="00A67FA1"/>
    <w:rsid w:val="00A716C6"/>
    <w:rsid w:val="00A71D59"/>
    <w:rsid w:val="00A72A9F"/>
    <w:rsid w:val="00A72F35"/>
    <w:rsid w:val="00A73EA2"/>
    <w:rsid w:val="00A741FF"/>
    <w:rsid w:val="00A7693F"/>
    <w:rsid w:val="00A7715F"/>
    <w:rsid w:val="00A77894"/>
    <w:rsid w:val="00A825CD"/>
    <w:rsid w:val="00A82A3E"/>
    <w:rsid w:val="00A85150"/>
    <w:rsid w:val="00A857EC"/>
    <w:rsid w:val="00A86C1F"/>
    <w:rsid w:val="00A905A7"/>
    <w:rsid w:val="00A90814"/>
    <w:rsid w:val="00A92342"/>
    <w:rsid w:val="00A93A49"/>
    <w:rsid w:val="00A9456A"/>
    <w:rsid w:val="00A94A77"/>
    <w:rsid w:val="00A95026"/>
    <w:rsid w:val="00A96626"/>
    <w:rsid w:val="00A9663C"/>
    <w:rsid w:val="00AA1436"/>
    <w:rsid w:val="00AA1E70"/>
    <w:rsid w:val="00AA57ED"/>
    <w:rsid w:val="00AA7680"/>
    <w:rsid w:val="00AA7C91"/>
    <w:rsid w:val="00AA7CA2"/>
    <w:rsid w:val="00AA7D0D"/>
    <w:rsid w:val="00AB168C"/>
    <w:rsid w:val="00AB26C0"/>
    <w:rsid w:val="00AB3971"/>
    <w:rsid w:val="00AB3E1E"/>
    <w:rsid w:val="00AB43D3"/>
    <w:rsid w:val="00AB4A05"/>
    <w:rsid w:val="00AB4EC7"/>
    <w:rsid w:val="00AB54F3"/>
    <w:rsid w:val="00AB6D67"/>
    <w:rsid w:val="00AB7C9A"/>
    <w:rsid w:val="00AC1422"/>
    <w:rsid w:val="00AC2A0F"/>
    <w:rsid w:val="00AC327F"/>
    <w:rsid w:val="00AC523C"/>
    <w:rsid w:val="00AC71AB"/>
    <w:rsid w:val="00AC795F"/>
    <w:rsid w:val="00AC7BBF"/>
    <w:rsid w:val="00AD08C8"/>
    <w:rsid w:val="00AD169F"/>
    <w:rsid w:val="00AD2375"/>
    <w:rsid w:val="00AD4B40"/>
    <w:rsid w:val="00AD59B5"/>
    <w:rsid w:val="00AD7A94"/>
    <w:rsid w:val="00AE0294"/>
    <w:rsid w:val="00AE08A0"/>
    <w:rsid w:val="00AE10FA"/>
    <w:rsid w:val="00AE14DA"/>
    <w:rsid w:val="00AE1A39"/>
    <w:rsid w:val="00AE406A"/>
    <w:rsid w:val="00AE51DF"/>
    <w:rsid w:val="00AE6004"/>
    <w:rsid w:val="00AF0EF5"/>
    <w:rsid w:val="00AF1CC3"/>
    <w:rsid w:val="00AF2283"/>
    <w:rsid w:val="00AF4D4A"/>
    <w:rsid w:val="00AF5263"/>
    <w:rsid w:val="00AF5D98"/>
    <w:rsid w:val="00AF7256"/>
    <w:rsid w:val="00AF7E80"/>
    <w:rsid w:val="00AF7F24"/>
    <w:rsid w:val="00B0057E"/>
    <w:rsid w:val="00B01EAF"/>
    <w:rsid w:val="00B02BD0"/>
    <w:rsid w:val="00B033DF"/>
    <w:rsid w:val="00B04E41"/>
    <w:rsid w:val="00B1025A"/>
    <w:rsid w:val="00B10E54"/>
    <w:rsid w:val="00B1201C"/>
    <w:rsid w:val="00B14E78"/>
    <w:rsid w:val="00B201AC"/>
    <w:rsid w:val="00B20CFF"/>
    <w:rsid w:val="00B219ED"/>
    <w:rsid w:val="00B22483"/>
    <w:rsid w:val="00B224A8"/>
    <w:rsid w:val="00B22C2E"/>
    <w:rsid w:val="00B240B3"/>
    <w:rsid w:val="00B247ED"/>
    <w:rsid w:val="00B2561F"/>
    <w:rsid w:val="00B25700"/>
    <w:rsid w:val="00B25C55"/>
    <w:rsid w:val="00B262E6"/>
    <w:rsid w:val="00B26BF0"/>
    <w:rsid w:val="00B30F73"/>
    <w:rsid w:val="00B330BD"/>
    <w:rsid w:val="00B35248"/>
    <w:rsid w:val="00B359AE"/>
    <w:rsid w:val="00B35DDF"/>
    <w:rsid w:val="00B36447"/>
    <w:rsid w:val="00B36BEF"/>
    <w:rsid w:val="00B41460"/>
    <w:rsid w:val="00B41BBF"/>
    <w:rsid w:val="00B41D0C"/>
    <w:rsid w:val="00B426F9"/>
    <w:rsid w:val="00B44BF0"/>
    <w:rsid w:val="00B44C29"/>
    <w:rsid w:val="00B45B26"/>
    <w:rsid w:val="00B45D25"/>
    <w:rsid w:val="00B46789"/>
    <w:rsid w:val="00B46C60"/>
    <w:rsid w:val="00B47743"/>
    <w:rsid w:val="00B51461"/>
    <w:rsid w:val="00B5205F"/>
    <w:rsid w:val="00B521D7"/>
    <w:rsid w:val="00B523D9"/>
    <w:rsid w:val="00B535C8"/>
    <w:rsid w:val="00B53DB1"/>
    <w:rsid w:val="00B55A66"/>
    <w:rsid w:val="00B570F6"/>
    <w:rsid w:val="00B57252"/>
    <w:rsid w:val="00B57F17"/>
    <w:rsid w:val="00B621C6"/>
    <w:rsid w:val="00B63255"/>
    <w:rsid w:val="00B633F7"/>
    <w:rsid w:val="00B64166"/>
    <w:rsid w:val="00B64DB9"/>
    <w:rsid w:val="00B652A7"/>
    <w:rsid w:val="00B65436"/>
    <w:rsid w:val="00B654CB"/>
    <w:rsid w:val="00B65AB9"/>
    <w:rsid w:val="00B66E1D"/>
    <w:rsid w:val="00B7076E"/>
    <w:rsid w:val="00B710B2"/>
    <w:rsid w:val="00B718BB"/>
    <w:rsid w:val="00B7199C"/>
    <w:rsid w:val="00B731AB"/>
    <w:rsid w:val="00B75262"/>
    <w:rsid w:val="00B75585"/>
    <w:rsid w:val="00B809F9"/>
    <w:rsid w:val="00B82AB6"/>
    <w:rsid w:val="00B83E7B"/>
    <w:rsid w:val="00B84F98"/>
    <w:rsid w:val="00B856B1"/>
    <w:rsid w:val="00B86126"/>
    <w:rsid w:val="00B8764C"/>
    <w:rsid w:val="00B87A1B"/>
    <w:rsid w:val="00B90911"/>
    <w:rsid w:val="00B915F1"/>
    <w:rsid w:val="00B920E4"/>
    <w:rsid w:val="00B96084"/>
    <w:rsid w:val="00B96336"/>
    <w:rsid w:val="00B97DB5"/>
    <w:rsid w:val="00BA0F1F"/>
    <w:rsid w:val="00BA15C6"/>
    <w:rsid w:val="00BA1604"/>
    <w:rsid w:val="00BA225A"/>
    <w:rsid w:val="00BA249A"/>
    <w:rsid w:val="00BA321F"/>
    <w:rsid w:val="00BA4439"/>
    <w:rsid w:val="00BA4A8C"/>
    <w:rsid w:val="00BA4E1B"/>
    <w:rsid w:val="00BA58AA"/>
    <w:rsid w:val="00BA5C3D"/>
    <w:rsid w:val="00BA5E41"/>
    <w:rsid w:val="00BA6C3E"/>
    <w:rsid w:val="00BA7AC5"/>
    <w:rsid w:val="00BB0849"/>
    <w:rsid w:val="00BB0F0D"/>
    <w:rsid w:val="00BB27AB"/>
    <w:rsid w:val="00BB2E8F"/>
    <w:rsid w:val="00BB3E5A"/>
    <w:rsid w:val="00BB4314"/>
    <w:rsid w:val="00BB4B74"/>
    <w:rsid w:val="00BB4CB5"/>
    <w:rsid w:val="00BB5234"/>
    <w:rsid w:val="00BB5308"/>
    <w:rsid w:val="00BB7B12"/>
    <w:rsid w:val="00BC0EFD"/>
    <w:rsid w:val="00BC2624"/>
    <w:rsid w:val="00BC3731"/>
    <w:rsid w:val="00BC3790"/>
    <w:rsid w:val="00BC3A95"/>
    <w:rsid w:val="00BC4382"/>
    <w:rsid w:val="00BC6C74"/>
    <w:rsid w:val="00BC7F4C"/>
    <w:rsid w:val="00BD040E"/>
    <w:rsid w:val="00BD0E2C"/>
    <w:rsid w:val="00BD14B6"/>
    <w:rsid w:val="00BD1B7A"/>
    <w:rsid w:val="00BD336C"/>
    <w:rsid w:val="00BD36B6"/>
    <w:rsid w:val="00BD49CC"/>
    <w:rsid w:val="00BD5270"/>
    <w:rsid w:val="00BD68F7"/>
    <w:rsid w:val="00BD6AF9"/>
    <w:rsid w:val="00BD6F36"/>
    <w:rsid w:val="00BE09D3"/>
    <w:rsid w:val="00BE18F6"/>
    <w:rsid w:val="00BE1961"/>
    <w:rsid w:val="00BE1FC2"/>
    <w:rsid w:val="00BE346A"/>
    <w:rsid w:val="00BF0AB5"/>
    <w:rsid w:val="00BF1C39"/>
    <w:rsid w:val="00BF200C"/>
    <w:rsid w:val="00BF249D"/>
    <w:rsid w:val="00BF5915"/>
    <w:rsid w:val="00BF5C71"/>
    <w:rsid w:val="00BF6C5C"/>
    <w:rsid w:val="00BF7616"/>
    <w:rsid w:val="00BF7FF7"/>
    <w:rsid w:val="00C00F02"/>
    <w:rsid w:val="00C01269"/>
    <w:rsid w:val="00C01DCB"/>
    <w:rsid w:val="00C02561"/>
    <w:rsid w:val="00C034F3"/>
    <w:rsid w:val="00C039B9"/>
    <w:rsid w:val="00C05300"/>
    <w:rsid w:val="00C05753"/>
    <w:rsid w:val="00C066E7"/>
    <w:rsid w:val="00C06B9E"/>
    <w:rsid w:val="00C07B42"/>
    <w:rsid w:val="00C07ED6"/>
    <w:rsid w:val="00C11B46"/>
    <w:rsid w:val="00C11D7B"/>
    <w:rsid w:val="00C123D3"/>
    <w:rsid w:val="00C12E4B"/>
    <w:rsid w:val="00C15413"/>
    <w:rsid w:val="00C174BC"/>
    <w:rsid w:val="00C20918"/>
    <w:rsid w:val="00C21D3E"/>
    <w:rsid w:val="00C239E6"/>
    <w:rsid w:val="00C23A88"/>
    <w:rsid w:val="00C24A89"/>
    <w:rsid w:val="00C25697"/>
    <w:rsid w:val="00C2613B"/>
    <w:rsid w:val="00C263CF"/>
    <w:rsid w:val="00C27017"/>
    <w:rsid w:val="00C27A49"/>
    <w:rsid w:val="00C27D43"/>
    <w:rsid w:val="00C30CE3"/>
    <w:rsid w:val="00C33707"/>
    <w:rsid w:val="00C35019"/>
    <w:rsid w:val="00C35D22"/>
    <w:rsid w:val="00C36B2D"/>
    <w:rsid w:val="00C375D4"/>
    <w:rsid w:val="00C3766A"/>
    <w:rsid w:val="00C400C3"/>
    <w:rsid w:val="00C40F09"/>
    <w:rsid w:val="00C42457"/>
    <w:rsid w:val="00C43658"/>
    <w:rsid w:val="00C436E4"/>
    <w:rsid w:val="00C44D56"/>
    <w:rsid w:val="00C44D8C"/>
    <w:rsid w:val="00C44F84"/>
    <w:rsid w:val="00C45073"/>
    <w:rsid w:val="00C45654"/>
    <w:rsid w:val="00C47BBD"/>
    <w:rsid w:val="00C50892"/>
    <w:rsid w:val="00C515BA"/>
    <w:rsid w:val="00C51E6A"/>
    <w:rsid w:val="00C52DA7"/>
    <w:rsid w:val="00C52FEE"/>
    <w:rsid w:val="00C54943"/>
    <w:rsid w:val="00C55150"/>
    <w:rsid w:val="00C60587"/>
    <w:rsid w:val="00C627D7"/>
    <w:rsid w:val="00C64560"/>
    <w:rsid w:val="00C64787"/>
    <w:rsid w:val="00C6492A"/>
    <w:rsid w:val="00C666F9"/>
    <w:rsid w:val="00C66E1D"/>
    <w:rsid w:val="00C67430"/>
    <w:rsid w:val="00C708A8"/>
    <w:rsid w:val="00C70B26"/>
    <w:rsid w:val="00C71B2E"/>
    <w:rsid w:val="00C74F38"/>
    <w:rsid w:val="00C758F7"/>
    <w:rsid w:val="00C767CE"/>
    <w:rsid w:val="00C776A1"/>
    <w:rsid w:val="00C81229"/>
    <w:rsid w:val="00C812ED"/>
    <w:rsid w:val="00C81352"/>
    <w:rsid w:val="00C83EA7"/>
    <w:rsid w:val="00C8764C"/>
    <w:rsid w:val="00C9257B"/>
    <w:rsid w:val="00C93265"/>
    <w:rsid w:val="00C93335"/>
    <w:rsid w:val="00C938A6"/>
    <w:rsid w:val="00C95008"/>
    <w:rsid w:val="00C952E8"/>
    <w:rsid w:val="00CA02F1"/>
    <w:rsid w:val="00CA3C14"/>
    <w:rsid w:val="00CA4F2B"/>
    <w:rsid w:val="00CA51BC"/>
    <w:rsid w:val="00CA5454"/>
    <w:rsid w:val="00CA6216"/>
    <w:rsid w:val="00CA7817"/>
    <w:rsid w:val="00CA79EE"/>
    <w:rsid w:val="00CB0154"/>
    <w:rsid w:val="00CB22DE"/>
    <w:rsid w:val="00CB3015"/>
    <w:rsid w:val="00CB30ED"/>
    <w:rsid w:val="00CB418C"/>
    <w:rsid w:val="00CB45F6"/>
    <w:rsid w:val="00CB67AC"/>
    <w:rsid w:val="00CB68CB"/>
    <w:rsid w:val="00CB6B54"/>
    <w:rsid w:val="00CB71DD"/>
    <w:rsid w:val="00CB7D1D"/>
    <w:rsid w:val="00CC3574"/>
    <w:rsid w:val="00CC3F27"/>
    <w:rsid w:val="00CC3FBA"/>
    <w:rsid w:val="00CC4101"/>
    <w:rsid w:val="00CC4347"/>
    <w:rsid w:val="00CC5649"/>
    <w:rsid w:val="00CC73EE"/>
    <w:rsid w:val="00CC7674"/>
    <w:rsid w:val="00CD26BE"/>
    <w:rsid w:val="00CD28E6"/>
    <w:rsid w:val="00CD45BB"/>
    <w:rsid w:val="00CD497E"/>
    <w:rsid w:val="00CD4A30"/>
    <w:rsid w:val="00CD4D1A"/>
    <w:rsid w:val="00CD539B"/>
    <w:rsid w:val="00CD710C"/>
    <w:rsid w:val="00CD733B"/>
    <w:rsid w:val="00CD7490"/>
    <w:rsid w:val="00CE05FD"/>
    <w:rsid w:val="00CE076B"/>
    <w:rsid w:val="00CE1ADC"/>
    <w:rsid w:val="00CE24A5"/>
    <w:rsid w:val="00CE402F"/>
    <w:rsid w:val="00CE4AF5"/>
    <w:rsid w:val="00CE6097"/>
    <w:rsid w:val="00CE618F"/>
    <w:rsid w:val="00CF034C"/>
    <w:rsid w:val="00CF38E9"/>
    <w:rsid w:val="00CF50CD"/>
    <w:rsid w:val="00CF584E"/>
    <w:rsid w:val="00CF6755"/>
    <w:rsid w:val="00CF6F20"/>
    <w:rsid w:val="00D00097"/>
    <w:rsid w:val="00D003F6"/>
    <w:rsid w:val="00D0089E"/>
    <w:rsid w:val="00D02E19"/>
    <w:rsid w:val="00D04253"/>
    <w:rsid w:val="00D049B9"/>
    <w:rsid w:val="00D0559C"/>
    <w:rsid w:val="00D05FF1"/>
    <w:rsid w:val="00D06280"/>
    <w:rsid w:val="00D06B72"/>
    <w:rsid w:val="00D104EE"/>
    <w:rsid w:val="00D11AFE"/>
    <w:rsid w:val="00D13451"/>
    <w:rsid w:val="00D13F62"/>
    <w:rsid w:val="00D14E53"/>
    <w:rsid w:val="00D1590B"/>
    <w:rsid w:val="00D16652"/>
    <w:rsid w:val="00D16B0D"/>
    <w:rsid w:val="00D16E39"/>
    <w:rsid w:val="00D21F3A"/>
    <w:rsid w:val="00D21F85"/>
    <w:rsid w:val="00D22655"/>
    <w:rsid w:val="00D23424"/>
    <w:rsid w:val="00D2435D"/>
    <w:rsid w:val="00D2558F"/>
    <w:rsid w:val="00D25CD6"/>
    <w:rsid w:val="00D30E4F"/>
    <w:rsid w:val="00D319DD"/>
    <w:rsid w:val="00D32548"/>
    <w:rsid w:val="00D34456"/>
    <w:rsid w:val="00D36380"/>
    <w:rsid w:val="00D42C86"/>
    <w:rsid w:val="00D42F95"/>
    <w:rsid w:val="00D433D4"/>
    <w:rsid w:val="00D43802"/>
    <w:rsid w:val="00D43876"/>
    <w:rsid w:val="00D43F91"/>
    <w:rsid w:val="00D44943"/>
    <w:rsid w:val="00D45C3F"/>
    <w:rsid w:val="00D50843"/>
    <w:rsid w:val="00D50A3C"/>
    <w:rsid w:val="00D50AA8"/>
    <w:rsid w:val="00D532C9"/>
    <w:rsid w:val="00D573A0"/>
    <w:rsid w:val="00D57C9F"/>
    <w:rsid w:val="00D60B7A"/>
    <w:rsid w:val="00D629CA"/>
    <w:rsid w:val="00D62E38"/>
    <w:rsid w:val="00D633F0"/>
    <w:rsid w:val="00D63464"/>
    <w:rsid w:val="00D64A50"/>
    <w:rsid w:val="00D6500A"/>
    <w:rsid w:val="00D66B16"/>
    <w:rsid w:val="00D675F5"/>
    <w:rsid w:val="00D709EA"/>
    <w:rsid w:val="00D716FC"/>
    <w:rsid w:val="00D72219"/>
    <w:rsid w:val="00D7311C"/>
    <w:rsid w:val="00D73B3D"/>
    <w:rsid w:val="00D76C5E"/>
    <w:rsid w:val="00D76E0C"/>
    <w:rsid w:val="00D77968"/>
    <w:rsid w:val="00D824D8"/>
    <w:rsid w:val="00D8252E"/>
    <w:rsid w:val="00D833F5"/>
    <w:rsid w:val="00D8370D"/>
    <w:rsid w:val="00D83AD1"/>
    <w:rsid w:val="00D84034"/>
    <w:rsid w:val="00D8411E"/>
    <w:rsid w:val="00D85B09"/>
    <w:rsid w:val="00D8610D"/>
    <w:rsid w:val="00D86ADB"/>
    <w:rsid w:val="00D87DC3"/>
    <w:rsid w:val="00D905BC"/>
    <w:rsid w:val="00D90DA1"/>
    <w:rsid w:val="00D92021"/>
    <w:rsid w:val="00D939A2"/>
    <w:rsid w:val="00D94045"/>
    <w:rsid w:val="00D94A1A"/>
    <w:rsid w:val="00D94CDD"/>
    <w:rsid w:val="00D95CE5"/>
    <w:rsid w:val="00D95EF9"/>
    <w:rsid w:val="00D9615E"/>
    <w:rsid w:val="00D96C81"/>
    <w:rsid w:val="00D97667"/>
    <w:rsid w:val="00D979ED"/>
    <w:rsid w:val="00D97C6D"/>
    <w:rsid w:val="00DA1199"/>
    <w:rsid w:val="00DA22C7"/>
    <w:rsid w:val="00DA4124"/>
    <w:rsid w:val="00DA49C9"/>
    <w:rsid w:val="00DA6565"/>
    <w:rsid w:val="00DB02E6"/>
    <w:rsid w:val="00DB0FC0"/>
    <w:rsid w:val="00DB16EA"/>
    <w:rsid w:val="00DB47C4"/>
    <w:rsid w:val="00DB5016"/>
    <w:rsid w:val="00DB5396"/>
    <w:rsid w:val="00DB53A8"/>
    <w:rsid w:val="00DB625A"/>
    <w:rsid w:val="00DB67E4"/>
    <w:rsid w:val="00DB72B0"/>
    <w:rsid w:val="00DC047D"/>
    <w:rsid w:val="00DC2DA9"/>
    <w:rsid w:val="00DC2E9F"/>
    <w:rsid w:val="00DC3FF4"/>
    <w:rsid w:val="00DC5E78"/>
    <w:rsid w:val="00DC6E53"/>
    <w:rsid w:val="00DC7473"/>
    <w:rsid w:val="00DD20CC"/>
    <w:rsid w:val="00DD4221"/>
    <w:rsid w:val="00DD452F"/>
    <w:rsid w:val="00DD6DAE"/>
    <w:rsid w:val="00DE0339"/>
    <w:rsid w:val="00DE11E7"/>
    <w:rsid w:val="00DE3C87"/>
    <w:rsid w:val="00DE501B"/>
    <w:rsid w:val="00DE547A"/>
    <w:rsid w:val="00DE77D9"/>
    <w:rsid w:val="00DF0337"/>
    <w:rsid w:val="00DF146E"/>
    <w:rsid w:val="00DF1DE6"/>
    <w:rsid w:val="00DF22C8"/>
    <w:rsid w:val="00DF27E5"/>
    <w:rsid w:val="00DF3C86"/>
    <w:rsid w:val="00DF3F9A"/>
    <w:rsid w:val="00DF43B0"/>
    <w:rsid w:val="00DF4928"/>
    <w:rsid w:val="00DF52FE"/>
    <w:rsid w:val="00DF721B"/>
    <w:rsid w:val="00DF75AB"/>
    <w:rsid w:val="00DF7AE9"/>
    <w:rsid w:val="00E007E5"/>
    <w:rsid w:val="00E014DF"/>
    <w:rsid w:val="00E02EF6"/>
    <w:rsid w:val="00E03C7A"/>
    <w:rsid w:val="00E04E4B"/>
    <w:rsid w:val="00E04F38"/>
    <w:rsid w:val="00E04FB8"/>
    <w:rsid w:val="00E0518B"/>
    <w:rsid w:val="00E06F84"/>
    <w:rsid w:val="00E0797F"/>
    <w:rsid w:val="00E07A68"/>
    <w:rsid w:val="00E11FB0"/>
    <w:rsid w:val="00E1315A"/>
    <w:rsid w:val="00E14343"/>
    <w:rsid w:val="00E15111"/>
    <w:rsid w:val="00E15265"/>
    <w:rsid w:val="00E1555C"/>
    <w:rsid w:val="00E16043"/>
    <w:rsid w:val="00E16648"/>
    <w:rsid w:val="00E17541"/>
    <w:rsid w:val="00E17E6D"/>
    <w:rsid w:val="00E20B49"/>
    <w:rsid w:val="00E21B66"/>
    <w:rsid w:val="00E22780"/>
    <w:rsid w:val="00E22D27"/>
    <w:rsid w:val="00E232F6"/>
    <w:rsid w:val="00E2336F"/>
    <w:rsid w:val="00E2511C"/>
    <w:rsid w:val="00E266AB"/>
    <w:rsid w:val="00E27867"/>
    <w:rsid w:val="00E304E4"/>
    <w:rsid w:val="00E30EA6"/>
    <w:rsid w:val="00E32908"/>
    <w:rsid w:val="00E3462C"/>
    <w:rsid w:val="00E35E22"/>
    <w:rsid w:val="00E374DC"/>
    <w:rsid w:val="00E37E88"/>
    <w:rsid w:val="00E40159"/>
    <w:rsid w:val="00E40B56"/>
    <w:rsid w:val="00E42027"/>
    <w:rsid w:val="00E46230"/>
    <w:rsid w:val="00E46CF0"/>
    <w:rsid w:val="00E47096"/>
    <w:rsid w:val="00E52434"/>
    <w:rsid w:val="00E52DFC"/>
    <w:rsid w:val="00E56213"/>
    <w:rsid w:val="00E566EC"/>
    <w:rsid w:val="00E6047F"/>
    <w:rsid w:val="00E607B3"/>
    <w:rsid w:val="00E60CE2"/>
    <w:rsid w:val="00E6397A"/>
    <w:rsid w:val="00E64937"/>
    <w:rsid w:val="00E66AA4"/>
    <w:rsid w:val="00E6707B"/>
    <w:rsid w:val="00E67AF6"/>
    <w:rsid w:val="00E7173A"/>
    <w:rsid w:val="00E71CE9"/>
    <w:rsid w:val="00E73465"/>
    <w:rsid w:val="00E74CEB"/>
    <w:rsid w:val="00E75503"/>
    <w:rsid w:val="00E776B2"/>
    <w:rsid w:val="00E80687"/>
    <w:rsid w:val="00E80A4B"/>
    <w:rsid w:val="00E8200B"/>
    <w:rsid w:val="00E8299A"/>
    <w:rsid w:val="00E82C0E"/>
    <w:rsid w:val="00E83771"/>
    <w:rsid w:val="00E84CB8"/>
    <w:rsid w:val="00E852B4"/>
    <w:rsid w:val="00E8748B"/>
    <w:rsid w:val="00E874B9"/>
    <w:rsid w:val="00E910AE"/>
    <w:rsid w:val="00E914C7"/>
    <w:rsid w:val="00E931CC"/>
    <w:rsid w:val="00E94220"/>
    <w:rsid w:val="00E96BF4"/>
    <w:rsid w:val="00E97785"/>
    <w:rsid w:val="00E97A2B"/>
    <w:rsid w:val="00E97AB4"/>
    <w:rsid w:val="00EA07E9"/>
    <w:rsid w:val="00EA1070"/>
    <w:rsid w:val="00EA275F"/>
    <w:rsid w:val="00EA37CD"/>
    <w:rsid w:val="00EA6BEF"/>
    <w:rsid w:val="00EA6F0C"/>
    <w:rsid w:val="00EB17A0"/>
    <w:rsid w:val="00EB474D"/>
    <w:rsid w:val="00EB5B26"/>
    <w:rsid w:val="00EB63A2"/>
    <w:rsid w:val="00EB6885"/>
    <w:rsid w:val="00EB7E81"/>
    <w:rsid w:val="00EC14E7"/>
    <w:rsid w:val="00EC1C69"/>
    <w:rsid w:val="00EC3631"/>
    <w:rsid w:val="00EC6D97"/>
    <w:rsid w:val="00EC6F9D"/>
    <w:rsid w:val="00EC7A8E"/>
    <w:rsid w:val="00ED15E2"/>
    <w:rsid w:val="00ED2AC6"/>
    <w:rsid w:val="00ED52B3"/>
    <w:rsid w:val="00ED52DD"/>
    <w:rsid w:val="00ED5ED7"/>
    <w:rsid w:val="00ED5F46"/>
    <w:rsid w:val="00ED644F"/>
    <w:rsid w:val="00ED692D"/>
    <w:rsid w:val="00ED7297"/>
    <w:rsid w:val="00EE0788"/>
    <w:rsid w:val="00EE09DB"/>
    <w:rsid w:val="00EE0B07"/>
    <w:rsid w:val="00EE128B"/>
    <w:rsid w:val="00EE4E43"/>
    <w:rsid w:val="00EE5286"/>
    <w:rsid w:val="00EF1615"/>
    <w:rsid w:val="00EF4357"/>
    <w:rsid w:val="00EF4CB3"/>
    <w:rsid w:val="00EF4E0F"/>
    <w:rsid w:val="00F00F5B"/>
    <w:rsid w:val="00F01098"/>
    <w:rsid w:val="00F01AE4"/>
    <w:rsid w:val="00F0493D"/>
    <w:rsid w:val="00F05A3C"/>
    <w:rsid w:val="00F05A58"/>
    <w:rsid w:val="00F1174C"/>
    <w:rsid w:val="00F1215C"/>
    <w:rsid w:val="00F12298"/>
    <w:rsid w:val="00F12372"/>
    <w:rsid w:val="00F131E1"/>
    <w:rsid w:val="00F1325C"/>
    <w:rsid w:val="00F1390E"/>
    <w:rsid w:val="00F13A6A"/>
    <w:rsid w:val="00F14507"/>
    <w:rsid w:val="00F1485C"/>
    <w:rsid w:val="00F165EF"/>
    <w:rsid w:val="00F17F71"/>
    <w:rsid w:val="00F2042A"/>
    <w:rsid w:val="00F20BB4"/>
    <w:rsid w:val="00F20C52"/>
    <w:rsid w:val="00F2309D"/>
    <w:rsid w:val="00F23AC5"/>
    <w:rsid w:val="00F23E5A"/>
    <w:rsid w:val="00F25FEA"/>
    <w:rsid w:val="00F26721"/>
    <w:rsid w:val="00F26829"/>
    <w:rsid w:val="00F26C99"/>
    <w:rsid w:val="00F27D90"/>
    <w:rsid w:val="00F27E8D"/>
    <w:rsid w:val="00F309EB"/>
    <w:rsid w:val="00F3166B"/>
    <w:rsid w:val="00F335DE"/>
    <w:rsid w:val="00F34305"/>
    <w:rsid w:val="00F346DF"/>
    <w:rsid w:val="00F35ADE"/>
    <w:rsid w:val="00F364F5"/>
    <w:rsid w:val="00F36F06"/>
    <w:rsid w:val="00F3734F"/>
    <w:rsid w:val="00F37F04"/>
    <w:rsid w:val="00F41337"/>
    <w:rsid w:val="00F4177E"/>
    <w:rsid w:val="00F41E0C"/>
    <w:rsid w:val="00F425CB"/>
    <w:rsid w:val="00F42BBC"/>
    <w:rsid w:val="00F4426B"/>
    <w:rsid w:val="00F46AD0"/>
    <w:rsid w:val="00F46BE0"/>
    <w:rsid w:val="00F47ACA"/>
    <w:rsid w:val="00F47F3B"/>
    <w:rsid w:val="00F503D5"/>
    <w:rsid w:val="00F507BA"/>
    <w:rsid w:val="00F52C39"/>
    <w:rsid w:val="00F6067A"/>
    <w:rsid w:val="00F644D8"/>
    <w:rsid w:val="00F649ED"/>
    <w:rsid w:val="00F64FF1"/>
    <w:rsid w:val="00F659A8"/>
    <w:rsid w:val="00F6628A"/>
    <w:rsid w:val="00F667BC"/>
    <w:rsid w:val="00F6772C"/>
    <w:rsid w:val="00F67F85"/>
    <w:rsid w:val="00F72460"/>
    <w:rsid w:val="00F7369F"/>
    <w:rsid w:val="00F75178"/>
    <w:rsid w:val="00F75A50"/>
    <w:rsid w:val="00F7677F"/>
    <w:rsid w:val="00F83490"/>
    <w:rsid w:val="00F83BA6"/>
    <w:rsid w:val="00F8479F"/>
    <w:rsid w:val="00F852E6"/>
    <w:rsid w:val="00F855DA"/>
    <w:rsid w:val="00F85882"/>
    <w:rsid w:val="00F85CB8"/>
    <w:rsid w:val="00F85CD9"/>
    <w:rsid w:val="00F87A37"/>
    <w:rsid w:val="00F907D2"/>
    <w:rsid w:val="00F94DAC"/>
    <w:rsid w:val="00F95478"/>
    <w:rsid w:val="00F9628B"/>
    <w:rsid w:val="00F96406"/>
    <w:rsid w:val="00F96B09"/>
    <w:rsid w:val="00F96FB7"/>
    <w:rsid w:val="00F9757C"/>
    <w:rsid w:val="00FA0819"/>
    <w:rsid w:val="00FA0D7D"/>
    <w:rsid w:val="00FA38BE"/>
    <w:rsid w:val="00FA3B6B"/>
    <w:rsid w:val="00FA5180"/>
    <w:rsid w:val="00FA5D68"/>
    <w:rsid w:val="00FA657B"/>
    <w:rsid w:val="00FA750A"/>
    <w:rsid w:val="00FB13C7"/>
    <w:rsid w:val="00FB1ABB"/>
    <w:rsid w:val="00FB237D"/>
    <w:rsid w:val="00FB29AB"/>
    <w:rsid w:val="00FB2D10"/>
    <w:rsid w:val="00FB47D7"/>
    <w:rsid w:val="00FB5EEB"/>
    <w:rsid w:val="00FB6FB5"/>
    <w:rsid w:val="00FB72CD"/>
    <w:rsid w:val="00FB7680"/>
    <w:rsid w:val="00FB7E3A"/>
    <w:rsid w:val="00FC41FD"/>
    <w:rsid w:val="00FC4AF5"/>
    <w:rsid w:val="00FC5326"/>
    <w:rsid w:val="00FC64E5"/>
    <w:rsid w:val="00FC6704"/>
    <w:rsid w:val="00FD03E5"/>
    <w:rsid w:val="00FD05C8"/>
    <w:rsid w:val="00FD0B26"/>
    <w:rsid w:val="00FD4BC0"/>
    <w:rsid w:val="00FD565E"/>
    <w:rsid w:val="00FD5A66"/>
    <w:rsid w:val="00FD5EE3"/>
    <w:rsid w:val="00FD69CC"/>
    <w:rsid w:val="00FD7839"/>
    <w:rsid w:val="00FE0BEB"/>
    <w:rsid w:val="00FE3705"/>
    <w:rsid w:val="00FE3F60"/>
    <w:rsid w:val="00FE4589"/>
    <w:rsid w:val="00FE45BE"/>
    <w:rsid w:val="00FE593D"/>
    <w:rsid w:val="00FE5CDE"/>
    <w:rsid w:val="00FE5E07"/>
    <w:rsid w:val="00FF0802"/>
    <w:rsid w:val="00FF0DD0"/>
    <w:rsid w:val="00FF1138"/>
    <w:rsid w:val="00FF236A"/>
    <w:rsid w:val="00FF2F28"/>
    <w:rsid w:val="00FF3A22"/>
    <w:rsid w:val="00FF5533"/>
    <w:rsid w:val="00FF5A9D"/>
    <w:rsid w:val="00FF706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40C059"/>
  <w15:docId w15:val="{665580B1-AF3D-4A36-BD82-99D33651F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3"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6250"/>
  </w:style>
  <w:style w:type="paragraph" w:styleId="Heading1">
    <w:name w:val="heading 1"/>
    <w:aliases w:val="ARR H1,ARR-FY 20 H1,Section,Section Heading,Article Heading,HEADING 1,App1,EASI 1,Hoofdstuk,Heading 1-nonum,H1,1,h1,Header 1,Heading 1-nonum Char,Heading 11,Section1,Section Heading1,Article Heading1,HEADING 11,App11,EASI 11,Hoofdstuk1"/>
    <w:basedOn w:val="Normal"/>
    <w:next w:val="Normal"/>
    <w:link w:val="Heading1Char"/>
    <w:qFormat/>
    <w:rsid w:val="00B523D9"/>
    <w:pPr>
      <w:keepNext/>
      <w:spacing w:before="240" w:after="60" w:line="240" w:lineRule="auto"/>
      <w:outlineLvl w:val="0"/>
    </w:pPr>
    <w:rPr>
      <w:rFonts w:eastAsia="Times New Roman" w:cs="Arial"/>
      <w:b/>
      <w:bCs/>
      <w:kern w:val="32"/>
      <w:sz w:val="24"/>
      <w:szCs w:val="32"/>
      <w:lang w:val="en-US"/>
    </w:rPr>
  </w:style>
  <w:style w:type="paragraph" w:styleId="Heading2">
    <w:name w:val="heading 2"/>
    <w:aliases w:val="ARR H2,Heading 2 ARR FY 20 H2"/>
    <w:basedOn w:val="Normal"/>
    <w:next w:val="Normal"/>
    <w:link w:val="Heading2Char"/>
    <w:unhideWhenUsed/>
    <w:qFormat/>
    <w:rsid w:val="00D50A3C"/>
    <w:pPr>
      <w:keepNext/>
      <w:spacing w:after="0" w:line="360" w:lineRule="auto"/>
      <w:outlineLvl w:val="1"/>
    </w:pPr>
    <w:rPr>
      <w:rFonts w:ascii="Calibri" w:eastAsia="Times New Roman" w:hAnsi="Calibri" w:cs="Times New Roman"/>
      <w:b/>
      <w:bCs/>
      <w:iCs/>
      <w:sz w:val="28"/>
      <w:szCs w:val="28"/>
      <w:lang w:val="en-US"/>
    </w:rPr>
  </w:style>
  <w:style w:type="paragraph" w:styleId="Heading3">
    <w:name w:val="heading 3"/>
    <w:aliases w:val="ARR H3"/>
    <w:basedOn w:val="Normal"/>
    <w:next w:val="Normal"/>
    <w:link w:val="Heading3Char"/>
    <w:unhideWhenUsed/>
    <w:qFormat/>
    <w:rsid w:val="00D50A3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nhideWhenUsed/>
    <w:qFormat/>
    <w:rsid w:val="00072D4C"/>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nhideWhenUsed/>
    <w:qFormat/>
    <w:rsid w:val="00AD4B40"/>
    <w:pPr>
      <w:spacing w:before="240" w:after="60" w:line="276" w:lineRule="auto"/>
      <w:outlineLvl w:val="4"/>
    </w:pPr>
    <w:rPr>
      <w:rFonts w:ascii="Calibri" w:eastAsia="Times New Roman" w:hAnsi="Calibri" w:cs="Mangal"/>
      <w:b/>
      <w:bCs/>
      <w:i/>
      <w:iCs/>
      <w:sz w:val="26"/>
      <w:szCs w:val="26"/>
      <w:lang w:eastAsia="en-IN"/>
    </w:rPr>
  </w:style>
  <w:style w:type="paragraph" w:styleId="Heading6">
    <w:name w:val="heading 6"/>
    <w:basedOn w:val="Normal"/>
    <w:next w:val="Normal"/>
    <w:link w:val="Heading6Char"/>
    <w:unhideWhenUsed/>
    <w:qFormat/>
    <w:rsid w:val="00AD4B40"/>
    <w:pPr>
      <w:spacing w:before="240" w:after="60" w:line="276" w:lineRule="auto"/>
      <w:outlineLvl w:val="5"/>
    </w:pPr>
    <w:rPr>
      <w:rFonts w:ascii="Calibri" w:eastAsia="Times New Roman" w:hAnsi="Calibri" w:cs="Mangal"/>
      <w:b/>
      <w:bCs/>
      <w:lang w:eastAsia="en-IN"/>
    </w:rPr>
  </w:style>
  <w:style w:type="paragraph" w:styleId="Heading7">
    <w:name w:val="heading 7"/>
    <w:basedOn w:val="Normal"/>
    <w:next w:val="Normal"/>
    <w:link w:val="Heading7Char"/>
    <w:uiPriority w:val="99"/>
    <w:unhideWhenUsed/>
    <w:qFormat/>
    <w:rsid w:val="00AD4B40"/>
    <w:pPr>
      <w:spacing w:before="240" w:after="60" w:line="360" w:lineRule="auto"/>
      <w:jc w:val="both"/>
      <w:outlineLvl w:val="6"/>
    </w:pPr>
    <w:rPr>
      <w:rFonts w:ascii="Calibri" w:eastAsia="Times New Roman" w:hAnsi="Calibri"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RR H1 Char,ARR-FY 20 H1 Char,Section Char,Section Heading Char,Article Heading Char,HEADING 1 Char,App1 Char,EASI 1 Char,Hoofdstuk Char,Heading 1-nonum Char1,H1 Char,1 Char,h1 Char,Header 1 Char,Heading 1-nonum Char Char,Heading 11 Char"/>
    <w:basedOn w:val="DefaultParagraphFont"/>
    <w:link w:val="Heading1"/>
    <w:rsid w:val="00B523D9"/>
    <w:rPr>
      <w:rFonts w:eastAsia="Times New Roman" w:cs="Arial"/>
      <w:b/>
      <w:bCs/>
      <w:kern w:val="32"/>
      <w:sz w:val="24"/>
      <w:szCs w:val="32"/>
      <w:lang w:val="en-US"/>
    </w:rPr>
  </w:style>
  <w:style w:type="character" w:customStyle="1" w:styleId="Heading2Char">
    <w:name w:val="Heading 2 Char"/>
    <w:aliases w:val="ARR H2 Char,Heading 2 ARR FY 20 H2 Char"/>
    <w:basedOn w:val="DefaultParagraphFont"/>
    <w:link w:val="Heading2"/>
    <w:rsid w:val="00D50A3C"/>
    <w:rPr>
      <w:rFonts w:ascii="Calibri" w:eastAsia="Times New Roman" w:hAnsi="Calibri" w:cs="Times New Roman"/>
      <w:b/>
      <w:bCs/>
      <w:iCs/>
      <w:sz w:val="28"/>
      <w:szCs w:val="28"/>
      <w:lang w:val="en-US"/>
    </w:rPr>
  </w:style>
  <w:style w:type="character" w:customStyle="1" w:styleId="Heading3Char">
    <w:name w:val="Heading 3 Char"/>
    <w:aliases w:val="ARR H3 Char"/>
    <w:basedOn w:val="DefaultParagraphFont"/>
    <w:link w:val="Heading3"/>
    <w:rsid w:val="00D50A3C"/>
    <w:rPr>
      <w:rFonts w:asciiTheme="majorHAnsi" w:eastAsiaTheme="majorEastAsia" w:hAnsiTheme="majorHAnsi" w:cstheme="majorBidi"/>
      <w:color w:val="1F4D78" w:themeColor="accent1" w:themeShade="7F"/>
      <w:sz w:val="24"/>
      <w:szCs w:val="24"/>
    </w:rPr>
  </w:style>
  <w:style w:type="paragraph" w:customStyle="1" w:styleId="ARRB11">
    <w:name w:val="ARR B1.1"/>
    <w:basedOn w:val="Normal"/>
    <w:link w:val="ARRB11Char"/>
    <w:qFormat/>
    <w:rsid w:val="00173208"/>
    <w:pPr>
      <w:numPr>
        <w:numId w:val="1"/>
      </w:numPr>
      <w:tabs>
        <w:tab w:val="left" w:pos="1440"/>
      </w:tabs>
      <w:spacing w:before="120" w:after="200" w:line="276" w:lineRule="auto"/>
      <w:jc w:val="both"/>
    </w:pPr>
    <w:rPr>
      <w:rFonts w:eastAsia="Times New Roman" w:cstheme="minorHAnsi"/>
      <w:sz w:val="24"/>
      <w:szCs w:val="23"/>
      <w:lang w:val="en-GB"/>
    </w:rPr>
  </w:style>
  <w:style w:type="paragraph" w:styleId="ListParagraph">
    <w:name w:val="List Paragraph"/>
    <w:aliases w:val="Number Bullets,section 1 para,Citation List,Graphic,List Paragraph1,Resume Title,heading 4,Ha,Table of contents numbered,Bullets1,List Paragraph Char Char,ADB paragraph numbering,H. List Paragraph,Bullets,Use Case List Paragraph"/>
    <w:basedOn w:val="Normal"/>
    <w:link w:val="ListParagraphChar"/>
    <w:uiPriority w:val="34"/>
    <w:qFormat/>
    <w:rsid w:val="0077442D"/>
    <w:pPr>
      <w:widowControl w:val="0"/>
      <w:adjustRightInd w:val="0"/>
      <w:spacing w:after="0" w:line="312" w:lineRule="auto"/>
      <w:ind w:left="720"/>
      <w:contextualSpacing/>
      <w:jc w:val="both"/>
      <w:textAlignment w:val="baseline"/>
    </w:pPr>
    <w:rPr>
      <w:rFonts w:ascii="Times New Roman" w:eastAsia="Times New Roman" w:hAnsi="Times New Roman" w:cs="Times New Roman"/>
      <w:sz w:val="24"/>
      <w:szCs w:val="24"/>
      <w:lang w:val="en-GB"/>
    </w:rPr>
  </w:style>
  <w:style w:type="character" w:customStyle="1" w:styleId="ListParagraphChar">
    <w:name w:val="List Paragraph Char"/>
    <w:aliases w:val="Number Bullets Char,section 1 para Char,Citation List Char,Graphic Char,List Paragraph1 Char,Resume Title Char,heading 4 Char,Ha Char,Table of contents numbered Char,Bullets1 Char,List Paragraph Char Char Char,H. List Paragraph Char"/>
    <w:link w:val="ListParagraph"/>
    <w:uiPriority w:val="34"/>
    <w:qFormat/>
    <w:locked/>
    <w:rsid w:val="0077442D"/>
    <w:rPr>
      <w:rFonts w:ascii="Times New Roman" w:eastAsia="Times New Roman" w:hAnsi="Times New Roman" w:cs="Times New Roman"/>
      <w:sz w:val="24"/>
      <w:szCs w:val="24"/>
      <w:lang w:val="en-GB"/>
    </w:rPr>
  </w:style>
  <w:style w:type="character" w:customStyle="1" w:styleId="ARRB11Char">
    <w:name w:val="ARR B1.1 Char"/>
    <w:basedOn w:val="DefaultParagraphFont"/>
    <w:link w:val="ARRB11"/>
    <w:rsid w:val="00D50A3C"/>
    <w:rPr>
      <w:rFonts w:eastAsia="Times New Roman" w:cstheme="minorHAnsi"/>
      <w:sz w:val="24"/>
      <w:szCs w:val="23"/>
      <w:lang w:val="en-GB"/>
    </w:rPr>
  </w:style>
  <w:style w:type="paragraph" w:customStyle="1" w:styleId="ARRI11">
    <w:name w:val="ARR I1.1"/>
    <w:basedOn w:val="ARRB11"/>
    <w:link w:val="ARRI11Char"/>
    <w:qFormat/>
    <w:rsid w:val="00D50A3C"/>
    <w:pPr>
      <w:numPr>
        <w:numId w:val="0"/>
      </w:numPr>
      <w:ind w:left="1440"/>
    </w:pPr>
    <w:rPr>
      <w:i/>
    </w:rPr>
  </w:style>
  <w:style w:type="character" w:customStyle="1" w:styleId="ARRI11Char">
    <w:name w:val="ARR I1.1 Char"/>
    <w:basedOn w:val="ARRB11Char"/>
    <w:link w:val="ARRI11"/>
    <w:rsid w:val="00D50A3C"/>
    <w:rPr>
      <w:rFonts w:eastAsia="Times New Roman" w:cstheme="minorHAnsi"/>
      <w:i/>
      <w:sz w:val="24"/>
      <w:szCs w:val="23"/>
      <w:lang w:val="en-GB"/>
    </w:rPr>
  </w:style>
  <w:style w:type="paragraph" w:customStyle="1" w:styleId="ARRBBullet">
    <w:name w:val="ARR B Bullet"/>
    <w:basedOn w:val="Normal"/>
    <w:link w:val="ARRBBulletChar"/>
    <w:qFormat/>
    <w:rsid w:val="00173208"/>
    <w:pPr>
      <w:ind w:left="1352" w:hanging="360"/>
      <w:contextualSpacing/>
      <w:jc w:val="both"/>
    </w:pPr>
  </w:style>
  <w:style w:type="character" w:customStyle="1" w:styleId="ARRBBulletChar">
    <w:name w:val="ARR B Bullet Char"/>
    <w:basedOn w:val="DefaultParagraphFont"/>
    <w:link w:val="ARRBBullet"/>
    <w:rsid w:val="00173208"/>
  </w:style>
  <w:style w:type="paragraph" w:styleId="Caption">
    <w:name w:val="caption"/>
    <w:aliases w:val="Caption- Table"/>
    <w:basedOn w:val="Normal"/>
    <w:next w:val="Normal"/>
    <w:unhideWhenUsed/>
    <w:qFormat/>
    <w:rsid w:val="00FA657B"/>
    <w:pPr>
      <w:spacing w:after="200" w:line="240" w:lineRule="auto"/>
    </w:pPr>
    <w:rPr>
      <w:i/>
      <w:iCs/>
      <w:color w:val="44546A" w:themeColor="text2"/>
      <w:sz w:val="18"/>
      <w:szCs w:val="18"/>
    </w:rPr>
  </w:style>
  <w:style w:type="paragraph" w:styleId="Header">
    <w:name w:val="header"/>
    <w:basedOn w:val="Normal"/>
    <w:link w:val="HeaderChar"/>
    <w:unhideWhenUsed/>
    <w:rsid w:val="00E71CE9"/>
    <w:pPr>
      <w:tabs>
        <w:tab w:val="center" w:pos="4513"/>
        <w:tab w:val="right" w:pos="9026"/>
      </w:tabs>
      <w:spacing w:after="0" w:line="240" w:lineRule="auto"/>
    </w:pPr>
  </w:style>
  <w:style w:type="character" w:customStyle="1" w:styleId="HeaderChar">
    <w:name w:val="Header Char"/>
    <w:basedOn w:val="DefaultParagraphFont"/>
    <w:link w:val="Header"/>
    <w:rsid w:val="00E71CE9"/>
  </w:style>
  <w:style w:type="paragraph" w:styleId="Footer">
    <w:name w:val="footer"/>
    <w:basedOn w:val="Normal"/>
    <w:link w:val="FooterChar"/>
    <w:uiPriority w:val="99"/>
    <w:unhideWhenUsed/>
    <w:qFormat/>
    <w:rsid w:val="00E71CE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71CE9"/>
  </w:style>
  <w:style w:type="table" w:customStyle="1" w:styleId="GridTable41">
    <w:name w:val="Grid Table 41"/>
    <w:basedOn w:val="TableNormal"/>
    <w:uiPriority w:val="49"/>
    <w:rsid w:val="0096183D"/>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21">
    <w:name w:val="Table Grid21"/>
    <w:basedOn w:val="TableNormal"/>
    <w:next w:val="TableGrid"/>
    <w:rsid w:val="00502799"/>
    <w:pPr>
      <w:spacing w:after="0" w:line="240" w:lineRule="auto"/>
    </w:pPr>
    <w:rPr>
      <w:rFonts w:eastAsia="Times New Roman"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5027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gureARR">
    <w:name w:val="Table &amp; Figure ARR"/>
    <w:basedOn w:val="Normal"/>
    <w:link w:val="TableFigureARRChar"/>
    <w:qFormat/>
    <w:rsid w:val="00502799"/>
    <w:pPr>
      <w:spacing w:after="200" w:line="240" w:lineRule="auto"/>
      <w:jc w:val="center"/>
    </w:pPr>
    <w:rPr>
      <w:b/>
      <w:i/>
      <w:iCs/>
      <w:color w:val="0070C0"/>
    </w:rPr>
  </w:style>
  <w:style w:type="character" w:customStyle="1" w:styleId="TableFigureARRChar">
    <w:name w:val="Table &amp; Figure ARR Char"/>
    <w:basedOn w:val="DefaultParagraphFont"/>
    <w:link w:val="TableFigureARR"/>
    <w:rsid w:val="00502799"/>
    <w:rPr>
      <w:b/>
      <w:i/>
      <w:iCs/>
      <w:color w:val="0070C0"/>
      <w:sz w:val="18"/>
      <w:szCs w:val="18"/>
    </w:rPr>
  </w:style>
  <w:style w:type="character" w:customStyle="1" w:styleId="ARRFY20BODYChar">
    <w:name w:val="ARR FY 20 BODY Char"/>
    <w:basedOn w:val="DefaultParagraphFont"/>
    <w:link w:val="ARRFY20BODY"/>
    <w:locked/>
    <w:rsid w:val="00246D67"/>
    <w:rPr>
      <w:rFonts w:cstheme="minorHAnsi"/>
      <w:sz w:val="24"/>
      <w:szCs w:val="23"/>
      <w:lang w:val="en-GB"/>
    </w:rPr>
  </w:style>
  <w:style w:type="paragraph" w:customStyle="1" w:styleId="ARRFY20BODY">
    <w:name w:val="ARR FY 20 BODY"/>
    <w:basedOn w:val="Normal"/>
    <w:link w:val="ARRFY20BODYChar"/>
    <w:qFormat/>
    <w:rsid w:val="00173208"/>
    <w:pPr>
      <w:tabs>
        <w:tab w:val="left" w:pos="1440"/>
      </w:tabs>
      <w:spacing w:line="256" w:lineRule="auto"/>
      <w:ind w:left="360" w:hanging="360"/>
      <w:contextualSpacing/>
      <w:jc w:val="both"/>
    </w:pPr>
    <w:rPr>
      <w:rFonts w:cstheme="minorHAnsi"/>
      <w:sz w:val="24"/>
      <w:szCs w:val="23"/>
      <w:lang w:val="en-GB"/>
    </w:rPr>
  </w:style>
  <w:style w:type="paragraph" w:styleId="TOCHeading">
    <w:name w:val="TOC Heading"/>
    <w:basedOn w:val="Heading1"/>
    <w:next w:val="Normal"/>
    <w:uiPriority w:val="39"/>
    <w:unhideWhenUsed/>
    <w:qFormat/>
    <w:rsid w:val="00EF1615"/>
    <w:pPr>
      <w:keepLines/>
      <w:spacing w:after="0" w:line="259" w:lineRule="auto"/>
      <w:outlineLvl w:val="9"/>
    </w:pPr>
    <w:rPr>
      <w:rFonts w:asciiTheme="majorHAnsi" w:eastAsiaTheme="majorEastAsia" w:hAnsiTheme="majorHAnsi" w:cstheme="majorBidi"/>
      <w:b w:val="0"/>
      <w:bCs w:val="0"/>
      <w:color w:val="2E74B5" w:themeColor="accent1" w:themeShade="BF"/>
      <w:kern w:val="0"/>
      <w:sz w:val="32"/>
    </w:rPr>
  </w:style>
  <w:style w:type="paragraph" w:styleId="TOC1">
    <w:name w:val="toc 1"/>
    <w:basedOn w:val="Normal"/>
    <w:next w:val="Normal"/>
    <w:autoRedefine/>
    <w:uiPriority w:val="39"/>
    <w:unhideWhenUsed/>
    <w:qFormat/>
    <w:rsid w:val="00B523D9"/>
    <w:pPr>
      <w:tabs>
        <w:tab w:val="left" w:pos="284"/>
        <w:tab w:val="right" w:leader="dot" w:pos="9016"/>
      </w:tabs>
      <w:spacing w:after="100"/>
      <w:ind w:left="284"/>
    </w:pPr>
  </w:style>
  <w:style w:type="paragraph" w:styleId="TOC2">
    <w:name w:val="toc 2"/>
    <w:basedOn w:val="Normal"/>
    <w:next w:val="Normal"/>
    <w:autoRedefine/>
    <w:uiPriority w:val="39"/>
    <w:unhideWhenUsed/>
    <w:qFormat/>
    <w:rsid w:val="00273657"/>
    <w:pPr>
      <w:tabs>
        <w:tab w:val="left" w:pos="426"/>
        <w:tab w:val="right" w:leader="dot" w:pos="9016"/>
      </w:tabs>
      <w:spacing w:after="100"/>
      <w:ind w:left="220"/>
    </w:pPr>
  </w:style>
  <w:style w:type="paragraph" w:styleId="TOC3">
    <w:name w:val="toc 3"/>
    <w:basedOn w:val="Normal"/>
    <w:next w:val="Normal"/>
    <w:autoRedefine/>
    <w:uiPriority w:val="39"/>
    <w:unhideWhenUsed/>
    <w:qFormat/>
    <w:rsid w:val="00EF1615"/>
    <w:pPr>
      <w:spacing w:after="100"/>
      <w:ind w:left="440"/>
    </w:pPr>
  </w:style>
  <w:style w:type="character" w:styleId="Hyperlink">
    <w:name w:val="Hyperlink"/>
    <w:basedOn w:val="DefaultParagraphFont"/>
    <w:uiPriority w:val="99"/>
    <w:unhideWhenUsed/>
    <w:rsid w:val="00EF1615"/>
    <w:rPr>
      <w:color w:val="0563C1" w:themeColor="hyperlink"/>
      <w:u w:val="single"/>
    </w:rPr>
  </w:style>
  <w:style w:type="paragraph" w:styleId="TableofFigures">
    <w:name w:val="table of figures"/>
    <w:basedOn w:val="Normal"/>
    <w:next w:val="Normal"/>
    <w:uiPriority w:val="99"/>
    <w:unhideWhenUsed/>
    <w:rsid w:val="00F8479F"/>
    <w:pPr>
      <w:spacing w:after="0"/>
    </w:pPr>
    <w:rPr>
      <w:sz w:val="24"/>
    </w:rPr>
  </w:style>
  <w:style w:type="paragraph" w:styleId="BalloonText">
    <w:name w:val="Balloon Text"/>
    <w:basedOn w:val="Normal"/>
    <w:link w:val="BalloonTextChar"/>
    <w:uiPriority w:val="99"/>
    <w:unhideWhenUsed/>
    <w:rsid w:val="005679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56797A"/>
    <w:rPr>
      <w:rFonts w:ascii="Tahoma" w:hAnsi="Tahoma" w:cs="Tahoma"/>
      <w:sz w:val="16"/>
      <w:szCs w:val="16"/>
    </w:rPr>
  </w:style>
  <w:style w:type="character" w:customStyle="1" w:styleId="Heading4Char">
    <w:name w:val="Heading 4 Char"/>
    <w:basedOn w:val="DefaultParagraphFont"/>
    <w:link w:val="Heading4"/>
    <w:rsid w:val="00072D4C"/>
    <w:rPr>
      <w:rFonts w:asciiTheme="majorHAnsi" w:eastAsiaTheme="majorEastAsia" w:hAnsiTheme="majorHAnsi" w:cstheme="majorBidi"/>
      <w:b/>
      <w:bCs/>
      <w:i/>
      <w:iCs/>
      <w:color w:val="5B9BD5" w:themeColor="accent1"/>
    </w:rPr>
  </w:style>
  <w:style w:type="table" w:customStyle="1" w:styleId="TableGrid1">
    <w:name w:val="Table Grid1"/>
    <w:basedOn w:val="TableNormal"/>
    <w:next w:val="GridTable41"/>
    <w:uiPriority w:val="59"/>
    <w:rsid w:val="0022147D"/>
    <w:pPr>
      <w:spacing w:after="0" w:line="240" w:lineRule="auto"/>
    </w:pPr>
    <w:rPr>
      <w:rFonts w:ascii="Calibri" w:eastAsia="Calibri" w:hAnsi="Calibri" w:cs="Mangal"/>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22147D"/>
    <w:rPr>
      <w:sz w:val="16"/>
      <w:szCs w:val="16"/>
    </w:rPr>
  </w:style>
  <w:style w:type="paragraph" w:styleId="NoSpacing">
    <w:name w:val="No Spacing"/>
    <w:link w:val="NoSpacingChar"/>
    <w:uiPriority w:val="1"/>
    <w:qFormat/>
    <w:rsid w:val="0022147D"/>
    <w:pPr>
      <w:spacing w:after="0" w:line="240" w:lineRule="auto"/>
    </w:pPr>
    <w:rPr>
      <w:rFonts w:ascii="Arial" w:eastAsia="Times New Roman" w:hAnsi="Arial" w:cs="Arial"/>
      <w:szCs w:val="24"/>
      <w:lang w:val="en-US"/>
    </w:rPr>
  </w:style>
  <w:style w:type="table" w:customStyle="1" w:styleId="TableGrid2">
    <w:name w:val="Table Grid2"/>
    <w:basedOn w:val="TableNormal"/>
    <w:next w:val="TableGrid"/>
    <w:uiPriority w:val="59"/>
    <w:rsid w:val="00AB26C0"/>
    <w:pPr>
      <w:spacing w:after="0" w:line="240" w:lineRule="auto"/>
    </w:pPr>
    <w:rPr>
      <w:rFonts w:ascii="Arial" w:eastAsia="Times New Roman" w:hAnsi="Arial" w:cs="Arial"/>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710202"/>
    <w:pPr>
      <w:spacing w:after="0" w:line="240" w:lineRule="auto"/>
    </w:pPr>
    <w:rPr>
      <w:rFonts w:eastAsiaTheme="minorEastAsia"/>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0">
    <w:name w:val="Table Grid10"/>
    <w:basedOn w:val="TableNormal"/>
    <w:next w:val="TableGrid"/>
    <w:uiPriority w:val="59"/>
    <w:rsid w:val="00657622"/>
    <w:pPr>
      <w:spacing w:after="0" w:line="240" w:lineRule="auto"/>
      <w:ind w:left="851" w:hanging="851"/>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AD4B40"/>
    <w:rPr>
      <w:rFonts w:ascii="Calibri" w:eastAsia="Times New Roman" w:hAnsi="Calibri" w:cs="Mangal"/>
      <w:b/>
      <w:bCs/>
      <w:i/>
      <w:iCs/>
      <w:sz w:val="26"/>
      <w:szCs w:val="26"/>
      <w:lang w:eastAsia="en-IN"/>
    </w:rPr>
  </w:style>
  <w:style w:type="character" w:customStyle="1" w:styleId="Heading6Char">
    <w:name w:val="Heading 6 Char"/>
    <w:basedOn w:val="DefaultParagraphFont"/>
    <w:link w:val="Heading6"/>
    <w:rsid w:val="00AD4B40"/>
    <w:rPr>
      <w:rFonts w:ascii="Calibri" w:eastAsia="Times New Roman" w:hAnsi="Calibri" w:cs="Mangal"/>
      <w:b/>
      <w:bCs/>
      <w:lang w:eastAsia="en-IN"/>
    </w:rPr>
  </w:style>
  <w:style w:type="character" w:customStyle="1" w:styleId="Heading7Char">
    <w:name w:val="Heading 7 Char"/>
    <w:basedOn w:val="DefaultParagraphFont"/>
    <w:link w:val="Heading7"/>
    <w:uiPriority w:val="99"/>
    <w:rsid w:val="00AD4B40"/>
    <w:rPr>
      <w:rFonts w:ascii="Calibri" w:eastAsia="Times New Roman" w:hAnsi="Calibri" w:cs="Times New Roman"/>
      <w:sz w:val="24"/>
      <w:szCs w:val="24"/>
      <w:lang w:val="en-US"/>
    </w:rPr>
  </w:style>
  <w:style w:type="paragraph" w:styleId="BodyTextIndent2">
    <w:name w:val="Body Text Indent 2"/>
    <w:basedOn w:val="Normal"/>
    <w:link w:val="BodyTextIndent2Char"/>
    <w:rsid w:val="00AD4B40"/>
    <w:pPr>
      <w:spacing w:after="0" w:line="240" w:lineRule="auto"/>
      <w:ind w:left="1080" w:hanging="480"/>
      <w:jc w:val="both"/>
    </w:pPr>
    <w:rPr>
      <w:rFonts w:ascii="Arial" w:eastAsia="Times New Roman" w:hAnsi="Arial" w:cs="Arial"/>
      <w:bCs/>
      <w:smallCaps/>
      <w:szCs w:val="24"/>
      <w:lang w:val="en-US"/>
    </w:rPr>
  </w:style>
  <w:style w:type="character" w:customStyle="1" w:styleId="BodyTextIndent2Char">
    <w:name w:val="Body Text Indent 2 Char"/>
    <w:basedOn w:val="DefaultParagraphFont"/>
    <w:link w:val="BodyTextIndent2"/>
    <w:rsid w:val="00AD4B40"/>
    <w:rPr>
      <w:rFonts w:ascii="Arial" w:eastAsia="Times New Roman" w:hAnsi="Arial" w:cs="Arial"/>
      <w:bCs/>
      <w:smallCaps/>
      <w:szCs w:val="24"/>
      <w:lang w:val="en-US"/>
    </w:rPr>
  </w:style>
  <w:style w:type="paragraph" w:styleId="Title">
    <w:name w:val="Title"/>
    <w:basedOn w:val="Normal"/>
    <w:link w:val="TitleChar"/>
    <w:uiPriority w:val="1"/>
    <w:qFormat/>
    <w:rsid w:val="00AD4B40"/>
    <w:pPr>
      <w:spacing w:after="0" w:line="360" w:lineRule="auto"/>
      <w:jc w:val="center"/>
      <w:outlineLvl w:val="0"/>
    </w:pPr>
    <w:rPr>
      <w:rFonts w:ascii="Calibri" w:eastAsia="Times New Roman" w:hAnsi="Calibri" w:cs="Calibri"/>
      <w:b/>
      <w:bCs/>
      <w:kern w:val="28"/>
      <w:lang w:val="en-US"/>
    </w:rPr>
  </w:style>
  <w:style w:type="character" w:customStyle="1" w:styleId="TitleChar">
    <w:name w:val="Title Char"/>
    <w:basedOn w:val="DefaultParagraphFont"/>
    <w:link w:val="Title"/>
    <w:uiPriority w:val="1"/>
    <w:rsid w:val="00AD4B40"/>
    <w:rPr>
      <w:rFonts w:ascii="Calibri" w:eastAsia="Times New Roman" w:hAnsi="Calibri" w:cs="Calibri"/>
      <w:b/>
      <w:bCs/>
      <w:kern w:val="28"/>
      <w:lang w:val="en-US"/>
    </w:rPr>
  </w:style>
  <w:style w:type="paragraph" w:styleId="BlockText">
    <w:name w:val="Block Text"/>
    <w:basedOn w:val="Normal"/>
    <w:semiHidden/>
    <w:rsid w:val="00AD4B40"/>
    <w:pPr>
      <w:widowControl w:val="0"/>
      <w:autoSpaceDE w:val="0"/>
      <w:autoSpaceDN w:val="0"/>
      <w:adjustRightInd w:val="0"/>
      <w:spacing w:after="0" w:line="360" w:lineRule="auto"/>
      <w:ind w:left="980" w:right="5191"/>
      <w:jc w:val="both"/>
    </w:pPr>
    <w:rPr>
      <w:rFonts w:ascii="Arial" w:eastAsia="Times New Roman" w:hAnsi="Arial" w:cs="Arial"/>
      <w:szCs w:val="24"/>
      <w:lang w:val="en-US"/>
    </w:rPr>
  </w:style>
  <w:style w:type="paragraph" w:styleId="Subtitle">
    <w:name w:val="Subtitle"/>
    <w:basedOn w:val="Normal"/>
    <w:link w:val="SubtitleChar"/>
    <w:uiPriority w:val="3"/>
    <w:qFormat/>
    <w:rsid w:val="00AD4B40"/>
    <w:pPr>
      <w:widowControl w:val="0"/>
      <w:autoSpaceDE w:val="0"/>
      <w:autoSpaceDN w:val="0"/>
      <w:adjustRightInd w:val="0"/>
      <w:spacing w:before="40" w:after="0" w:line="240" w:lineRule="auto"/>
      <w:ind w:left="100"/>
      <w:jc w:val="center"/>
    </w:pPr>
    <w:rPr>
      <w:rFonts w:ascii="Arial" w:eastAsia="Times New Roman" w:hAnsi="Arial" w:cs="Arial"/>
      <w:b/>
      <w:bCs/>
      <w:sz w:val="20"/>
      <w:szCs w:val="20"/>
      <w:lang w:val="en-US"/>
    </w:rPr>
  </w:style>
  <w:style w:type="character" w:customStyle="1" w:styleId="SubtitleChar">
    <w:name w:val="Subtitle Char"/>
    <w:basedOn w:val="DefaultParagraphFont"/>
    <w:link w:val="Subtitle"/>
    <w:uiPriority w:val="3"/>
    <w:rsid w:val="00AD4B40"/>
    <w:rPr>
      <w:rFonts w:ascii="Arial" w:eastAsia="Times New Roman" w:hAnsi="Arial" w:cs="Arial"/>
      <w:b/>
      <w:bCs/>
      <w:sz w:val="20"/>
      <w:szCs w:val="20"/>
      <w:lang w:val="en-US"/>
    </w:rPr>
  </w:style>
  <w:style w:type="paragraph" w:styleId="BodyTextIndent">
    <w:name w:val="Body Text Indent"/>
    <w:basedOn w:val="Normal"/>
    <w:link w:val="BodyTextIndentChar"/>
    <w:unhideWhenUsed/>
    <w:rsid w:val="00AD4B40"/>
    <w:pPr>
      <w:spacing w:after="120" w:line="240" w:lineRule="auto"/>
      <w:ind w:left="283"/>
    </w:pPr>
    <w:rPr>
      <w:rFonts w:ascii="Arial" w:eastAsia="Times New Roman" w:hAnsi="Arial" w:cs="Arial"/>
      <w:szCs w:val="24"/>
      <w:lang w:val="en-US"/>
    </w:rPr>
  </w:style>
  <w:style w:type="character" w:customStyle="1" w:styleId="BodyTextIndentChar">
    <w:name w:val="Body Text Indent Char"/>
    <w:basedOn w:val="DefaultParagraphFont"/>
    <w:link w:val="BodyTextIndent"/>
    <w:rsid w:val="00AD4B40"/>
    <w:rPr>
      <w:rFonts w:ascii="Arial" w:eastAsia="Times New Roman" w:hAnsi="Arial" w:cs="Arial"/>
      <w:szCs w:val="24"/>
      <w:lang w:val="en-US"/>
    </w:rPr>
  </w:style>
  <w:style w:type="paragraph" w:styleId="BodyTextIndent3">
    <w:name w:val="Body Text Indent 3"/>
    <w:basedOn w:val="Normal"/>
    <w:link w:val="BodyTextIndent3Char"/>
    <w:semiHidden/>
    <w:unhideWhenUsed/>
    <w:rsid w:val="00AD4B40"/>
    <w:pPr>
      <w:spacing w:after="120" w:line="276" w:lineRule="auto"/>
      <w:ind w:left="283"/>
    </w:pPr>
    <w:rPr>
      <w:rFonts w:ascii="Calibri" w:eastAsia="Times New Roman" w:hAnsi="Calibri" w:cs="Times New Roman"/>
      <w:sz w:val="16"/>
      <w:szCs w:val="16"/>
      <w:lang w:eastAsia="en-IN"/>
    </w:rPr>
  </w:style>
  <w:style w:type="character" w:customStyle="1" w:styleId="BodyTextIndent3Char">
    <w:name w:val="Body Text Indent 3 Char"/>
    <w:basedOn w:val="DefaultParagraphFont"/>
    <w:link w:val="BodyTextIndent3"/>
    <w:semiHidden/>
    <w:rsid w:val="00AD4B40"/>
    <w:rPr>
      <w:rFonts w:ascii="Calibri" w:eastAsia="Times New Roman" w:hAnsi="Calibri" w:cs="Times New Roman"/>
      <w:sz w:val="16"/>
      <w:szCs w:val="16"/>
      <w:lang w:eastAsia="en-IN"/>
    </w:rPr>
  </w:style>
  <w:style w:type="paragraph" w:customStyle="1" w:styleId="Default">
    <w:name w:val="Default"/>
    <w:rsid w:val="00AD4B40"/>
    <w:pPr>
      <w:autoSpaceDE w:val="0"/>
      <w:autoSpaceDN w:val="0"/>
      <w:adjustRightInd w:val="0"/>
      <w:spacing w:after="0" w:line="240" w:lineRule="auto"/>
    </w:pPr>
    <w:rPr>
      <w:rFonts w:ascii="Times New Roman" w:eastAsia="Calibri" w:hAnsi="Times New Roman" w:cs="Times New Roman"/>
      <w:color w:val="000000"/>
      <w:sz w:val="24"/>
      <w:szCs w:val="24"/>
      <w:lang w:val="en-US" w:bidi="hi-IN"/>
    </w:rPr>
  </w:style>
  <w:style w:type="paragraph" w:styleId="CommentText">
    <w:name w:val="annotation text"/>
    <w:basedOn w:val="Normal"/>
    <w:link w:val="CommentTextChar"/>
    <w:uiPriority w:val="99"/>
    <w:semiHidden/>
    <w:unhideWhenUsed/>
    <w:rsid w:val="00AD4B40"/>
    <w:pPr>
      <w:spacing w:after="200" w:line="276" w:lineRule="auto"/>
    </w:pPr>
    <w:rPr>
      <w:rFonts w:ascii="Calibri" w:eastAsia="Times New Roman" w:hAnsi="Calibri" w:cs="Times New Roman"/>
      <w:sz w:val="20"/>
      <w:szCs w:val="20"/>
      <w:lang w:eastAsia="en-IN"/>
    </w:rPr>
  </w:style>
  <w:style w:type="character" w:customStyle="1" w:styleId="CommentTextChar">
    <w:name w:val="Comment Text Char"/>
    <w:basedOn w:val="DefaultParagraphFont"/>
    <w:link w:val="CommentText"/>
    <w:uiPriority w:val="99"/>
    <w:semiHidden/>
    <w:rsid w:val="00AD4B40"/>
    <w:rPr>
      <w:rFonts w:ascii="Calibri" w:eastAsia="Times New Roman" w:hAnsi="Calibri" w:cs="Times New Roman"/>
      <w:sz w:val="20"/>
      <w:szCs w:val="20"/>
      <w:lang w:eastAsia="en-IN"/>
    </w:rPr>
  </w:style>
  <w:style w:type="paragraph" w:styleId="CommentSubject">
    <w:name w:val="annotation subject"/>
    <w:basedOn w:val="CommentText"/>
    <w:next w:val="CommentText"/>
    <w:link w:val="CommentSubjectChar"/>
    <w:uiPriority w:val="99"/>
    <w:semiHidden/>
    <w:unhideWhenUsed/>
    <w:rsid w:val="00AD4B40"/>
    <w:rPr>
      <w:b/>
      <w:bCs/>
    </w:rPr>
  </w:style>
  <w:style w:type="character" w:customStyle="1" w:styleId="CommentSubjectChar">
    <w:name w:val="Comment Subject Char"/>
    <w:basedOn w:val="CommentTextChar"/>
    <w:link w:val="CommentSubject"/>
    <w:uiPriority w:val="99"/>
    <w:semiHidden/>
    <w:rsid w:val="00AD4B40"/>
    <w:rPr>
      <w:rFonts w:ascii="Calibri" w:eastAsia="Times New Roman" w:hAnsi="Calibri" w:cs="Times New Roman"/>
      <w:b/>
      <w:bCs/>
      <w:sz w:val="20"/>
      <w:szCs w:val="20"/>
      <w:lang w:eastAsia="en-IN"/>
    </w:rPr>
  </w:style>
  <w:style w:type="paragraph" w:customStyle="1" w:styleId="p3">
    <w:name w:val="p3"/>
    <w:basedOn w:val="BodyText2"/>
    <w:rsid w:val="00AD4B40"/>
    <w:rPr>
      <w:rFonts w:cs="Mangal"/>
      <w:szCs w:val="20"/>
      <w:lang w:val="en-US" w:eastAsia="en-US" w:bidi="hi-IN"/>
    </w:rPr>
  </w:style>
  <w:style w:type="paragraph" w:styleId="BodyText2">
    <w:name w:val="Body Text 2"/>
    <w:basedOn w:val="Normal"/>
    <w:link w:val="BodyText2Char"/>
    <w:uiPriority w:val="99"/>
    <w:semiHidden/>
    <w:unhideWhenUsed/>
    <w:rsid w:val="00AD4B40"/>
    <w:pPr>
      <w:spacing w:after="120" w:line="480" w:lineRule="auto"/>
    </w:pPr>
    <w:rPr>
      <w:rFonts w:ascii="Calibri" w:eastAsia="Times New Roman" w:hAnsi="Calibri" w:cs="Times New Roman"/>
      <w:lang w:eastAsia="en-IN"/>
    </w:rPr>
  </w:style>
  <w:style w:type="character" w:customStyle="1" w:styleId="BodyText2Char">
    <w:name w:val="Body Text 2 Char"/>
    <w:basedOn w:val="DefaultParagraphFont"/>
    <w:link w:val="BodyText2"/>
    <w:uiPriority w:val="99"/>
    <w:semiHidden/>
    <w:rsid w:val="00AD4B40"/>
    <w:rPr>
      <w:rFonts w:ascii="Calibri" w:eastAsia="Times New Roman" w:hAnsi="Calibri" w:cs="Times New Roman"/>
      <w:lang w:eastAsia="en-IN"/>
    </w:rPr>
  </w:style>
  <w:style w:type="paragraph" w:styleId="BodyText">
    <w:name w:val="Body Text"/>
    <w:basedOn w:val="Normal"/>
    <w:link w:val="BodyTextChar"/>
    <w:unhideWhenUsed/>
    <w:rsid w:val="00AD4B40"/>
    <w:pPr>
      <w:spacing w:after="120" w:line="276" w:lineRule="auto"/>
    </w:pPr>
    <w:rPr>
      <w:rFonts w:ascii="Calibri" w:eastAsia="Times New Roman" w:hAnsi="Calibri" w:cs="Mangal"/>
      <w:szCs w:val="20"/>
      <w:lang w:val="en-US" w:bidi="hi-IN"/>
    </w:rPr>
  </w:style>
  <w:style w:type="character" w:customStyle="1" w:styleId="BodyTextChar">
    <w:name w:val="Body Text Char"/>
    <w:basedOn w:val="DefaultParagraphFont"/>
    <w:link w:val="BodyText"/>
    <w:rsid w:val="00AD4B40"/>
    <w:rPr>
      <w:rFonts w:ascii="Calibri" w:eastAsia="Times New Roman" w:hAnsi="Calibri" w:cs="Mangal"/>
      <w:szCs w:val="20"/>
      <w:lang w:val="en-US" w:bidi="hi-IN"/>
    </w:rPr>
  </w:style>
  <w:style w:type="paragraph" w:styleId="PlainText">
    <w:name w:val="Plain Text"/>
    <w:basedOn w:val="Normal"/>
    <w:link w:val="PlainTextChar"/>
    <w:uiPriority w:val="99"/>
    <w:semiHidden/>
    <w:unhideWhenUsed/>
    <w:rsid w:val="00AD4B40"/>
    <w:pPr>
      <w:spacing w:after="0" w:line="240" w:lineRule="auto"/>
    </w:pPr>
    <w:rPr>
      <w:rFonts w:ascii="Consolas" w:eastAsia="Times New Roman" w:hAnsi="Consolas" w:cs="Times New Roman"/>
      <w:sz w:val="21"/>
      <w:szCs w:val="21"/>
      <w:lang w:val="en-US"/>
    </w:rPr>
  </w:style>
  <w:style w:type="character" w:customStyle="1" w:styleId="PlainTextChar">
    <w:name w:val="Plain Text Char"/>
    <w:basedOn w:val="DefaultParagraphFont"/>
    <w:link w:val="PlainText"/>
    <w:uiPriority w:val="99"/>
    <w:semiHidden/>
    <w:rsid w:val="00AD4B40"/>
    <w:rPr>
      <w:rFonts w:ascii="Consolas" w:eastAsia="Times New Roman" w:hAnsi="Consolas" w:cs="Times New Roman"/>
      <w:sz w:val="21"/>
      <w:szCs w:val="21"/>
      <w:lang w:val="en-US"/>
    </w:rPr>
  </w:style>
  <w:style w:type="paragraph" w:styleId="DocumentMap">
    <w:name w:val="Document Map"/>
    <w:basedOn w:val="Normal"/>
    <w:link w:val="DocumentMapChar"/>
    <w:uiPriority w:val="99"/>
    <w:semiHidden/>
    <w:unhideWhenUsed/>
    <w:rsid w:val="00AD4B40"/>
    <w:pPr>
      <w:spacing w:after="0" w:line="240" w:lineRule="auto"/>
      <w:jc w:val="both"/>
    </w:pPr>
    <w:rPr>
      <w:rFonts w:ascii="Tahoma" w:eastAsia="Times New Roman" w:hAnsi="Tahoma" w:cs="Tahoma"/>
      <w:sz w:val="16"/>
      <w:szCs w:val="16"/>
      <w:lang w:val="en-US"/>
    </w:rPr>
  </w:style>
  <w:style w:type="character" w:customStyle="1" w:styleId="DocumentMapChar">
    <w:name w:val="Document Map Char"/>
    <w:basedOn w:val="DefaultParagraphFont"/>
    <w:link w:val="DocumentMap"/>
    <w:uiPriority w:val="99"/>
    <w:semiHidden/>
    <w:rsid w:val="00AD4B40"/>
    <w:rPr>
      <w:rFonts w:ascii="Tahoma" w:eastAsia="Times New Roman" w:hAnsi="Tahoma" w:cs="Tahoma"/>
      <w:sz w:val="16"/>
      <w:szCs w:val="16"/>
      <w:lang w:val="en-US"/>
    </w:rPr>
  </w:style>
  <w:style w:type="paragraph" w:styleId="ListBullet">
    <w:name w:val="List Bullet"/>
    <w:basedOn w:val="Normal"/>
    <w:autoRedefine/>
    <w:semiHidden/>
    <w:rsid w:val="00AD4B40"/>
    <w:pPr>
      <w:numPr>
        <w:numId w:val="4"/>
      </w:numPr>
      <w:spacing w:after="0" w:line="360" w:lineRule="auto"/>
      <w:jc w:val="both"/>
    </w:pPr>
    <w:rPr>
      <w:rFonts w:ascii="Calibri" w:eastAsia="Times New Roman" w:hAnsi="Calibri" w:cs="Arial"/>
      <w:sz w:val="24"/>
      <w:szCs w:val="24"/>
      <w:lang w:val="en-US"/>
    </w:rPr>
  </w:style>
  <w:style w:type="character" w:styleId="SubtleEmphasis">
    <w:name w:val="Subtle Emphasis"/>
    <w:basedOn w:val="DefaultParagraphFont"/>
    <w:uiPriority w:val="19"/>
    <w:qFormat/>
    <w:rsid w:val="00AD4B40"/>
    <w:rPr>
      <w:i/>
      <w:iCs/>
      <w:color w:val="808080"/>
    </w:rPr>
  </w:style>
  <w:style w:type="paragraph" w:styleId="FootnoteText">
    <w:name w:val="footnote text"/>
    <w:basedOn w:val="Normal"/>
    <w:link w:val="FootnoteTextChar"/>
    <w:uiPriority w:val="99"/>
    <w:unhideWhenUsed/>
    <w:rsid w:val="00AD4B40"/>
    <w:pPr>
      <w:spacing w:after="0" w:line="240" w:lineRule="auto"/>
      <w:jc w:val="both"/>
    </w:pPr>
    <w:rPr>
      <w:rFonts w:ascii="Calibri" w:eastAsia="Times New Roman" w:hAnsi="Calibri" w:cs="Arial"/>
      <w:sz w:val="20"/>
      <w:szCs w:val="20"/>
      <w:lang w:val="en-US"/>
    </w:rPr>
  </w:style>
  <w:style w:type="character" w:customStyle="1" w:styleId="FootnoteTextChar">
    <w:name w:val="Footnote Text Char"/>
    <w:basedOn w:val="DefaultParagraphFont"/>
    <w:link w:val="FootnoteText"/>
    <w:uiPriority w:val="99"/>
    <w:rsid w:val="00AD4B40"/>
    <w:rPr>
      <w:rFonts w:ascii="Calibri" w:eastAsia="Times New Roman" w:hAnsi="Calibri" w:cs="Arial"/>
      <w:sz w:val="20"/>
      <w:szCs w:val="20"/>
      <w:lang w:val="en-US"/>
    </w:rPr>
  </w:style>
  <w:style w:type="character" w:styleId="FootnoteReference">
    <w:name w:val="footnote reference"/>
    <w:basedOn w:val="DefaultParagraphFont"/>
    <w:uiPriority w:val="99"/>
    <w:semiHidden/>
    <w:unhideWhenUsed/>
    <w:rsid w:val="00AD4B40"/>
    <w:rPr>
      <w:vertAlign w:val="superscript"/>
    </w:rPr>
  </w:style>
  <w:style w:type="character" w:styleId="LineNumber">
    <w:name w:val="line number"/>
    <w:basedOn w:val="DefaultParagraphFont"/>
    <w:uiPriority w:val="99"/>
    <w:semiHidden/>
    <w:unhideWhenUsed/>
    <w:rsid w:val="00AD4B40"/>
  </w:style>
  <w:style w:type="paragraph" w:styleId="TOC4">
    <w:name w:val="toc 4"/>
    <w:basedOn w:val="Normal"/>
    <w:next w:val="Normal"/>
    <w:autoRedefine/>
    <w:uiPriority w:val="39"/>
    <w:unhideWhenUsed/>
    <w:rsid w:val="00AD4B40"/>
    <w:pPr>
      <w:spacing w:after="100" w:line="276" w:lineRule="auto"/>
      <w:ind w:left="660"/>
    </w:pPr>
    <w:rPr>
      <w:rFonts w:ascii="Calibri" w:eastAsia="Times New Roman" w:hAnsi="Calibri" w:cs="Times New Roman"/>
      <w:lang w:eastAsia="en-IN"/>
    </w:rPr>
  </w:style>
  <w:style w:type="paragraph" w:styleId="TOC5">
    <w:name w:val="toc 5"/>
    <w:basedOn w:val="Normal"/>
    <w:next w:val="Normal"/>
    <w:autoRedefine/>
    <w:uiPriority w:val="39"/>
    <w:unhideWhenUsed/>
    <w:rsid w:val="00AD4B40"/>
    <w:pPr>
      <w:spacing w:after="100" w:line="276" w:lineRule="auto"/>
      <w:ind w:left="880"/>
    </w:pPr>
    <w:rPr>
      <w:rFonts w:ascii="Calibri" w:eastAsia="Times New Roman" w:hAnsi="Calibri" w:cs="Times New Roman"/>
      <w:lang w:eastAsia="en-IN"/>
    </w:rPr>
  </w:style>
  <w:style w:type="paragraph" w:styleId="TOC6">
    <w:name w:val="toc 6"/>
    <w:basedOn w:val="Normal"/>
    <w:next w:val="Normal"/>
    <w:autoRedefine/>
    <w:uiPriority w:val="39"/>
    <w:unhideWhenUsed/>
    <w:rsid w:val="00AD4B40"/>
    <w:pPr>
      <w:spacing w:after="100" w:line="276" w:lineRule="auto"/>
      <w:ind w:left="1100"/>
    </w:pPr>
    <w:rPr>
      <w:rFonts w:ascii="Calibri" w:eastAsia="Times New Roman" w:hAnsi="Calibri" w:cs="Times New Roman"/>
      <w:lang w:eastAsia="en-IN"/>
    </w:rPr>
  </w:style>
  <w:style w:type="paragraph" w:styleId="TOC7">
    <w:name w:val="toc 7"/>
    <w:basedOn w:val="Normal"/>
    <w:next w:val="Normal"/>
    <w:autoRedefine/>
    <w:uiPriority w:val="39"/>
    <w:unhideWhenUsed/>
    <w:rsid w:val="00AD4B40"/>
    <w:pPr>
      <w:spacing w:after="100" w:line="276" w:lineRule="auto"/>
      <w:ind w:left="1320"/>
    </w:pPr>
    <w:rPr>
      <w:rFonts w:ascii="Calibri" w:eastAsia="Times New Roman" w:hAnsi="Calibri" w:cs="Times New Roman"/>
      <w:lang w:eastAsia="en-IN"/>
    </w:rPr>
  </w:style>
  <w:style w:type="paragraph" w:styleId="TOC8">
    <w:name w:val="toc 8"/>
    <w:basedOn w:val="Normal"/>
    <w:next w:val="Normal"/>
    <w:autoRedefine/>
    <w:uiPriority w:val="39"/>
    <w:unhideWhenUsed/>
    <w:rsid w:val="00AD4B40"/>
    <w:pPr>
      <w:spacing w:after="100" w:line="276" w:lineRule="auto"/>
      <w:ind w:left="1540"/>
    </w:pPr>
    <w:rPr>
      <w:rFonts w:ascii="Calibri" w:eastAsia="Times New Roman" w:hAnsi="Calibri" w:cs="Times New Roman"/>
      <w:lang w:eastAsia="en-IN"/>
    </w:rPr>
  </w:style>
  <w:style w:type="paragraph" w:styleId="TOC9">
    <w:name w:val="toc 9"/>
    <w:basedOn w:val="Normal"/>
    <w:next w:val="Normal"/>
    <w:autoRedefine/>
    <w:uiPriority w:val="39"/>
    <w:unhideWhenUsed/>
    <w:rsid w:val="00AD4B40"/>
    <w:pPr>
      <w:spacing w:after="100" w:line="276" w:lineRule="auto"/>
      <w:ind w:left="1760"/>
    </w:pPr>
    <w:rPr>
      <w:rFonts w:ascii="Calibri" w:eastAsia="Times New Roman" w:hAnsi="Calibri" w:cs="Times New Roman"/>
      <w:lang w:eastAsia="en-IN"/>
    </w:rPr>
  </w:style>
  <w:style w:type="paragraph" w:customStyle="1" w:styleId="Style1">
    <w:name w:val="Style 1"/>
    <w:rsid w:val="00AD4B40"/>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numbering" w:customStyle="1" w:styleId="NoList1">
    <w:name w:val="No List1"/>
    <w:next w:val="NoList"/>
    <w:uiPriority w:val="99"/>
    <w:semiHidden/>
    <w:unhideWhenUsed/>
    <w:rsid w:val="00AD4B40"/>
  </w:style>
  <w:style w:type="numbering" w:customStyle="1" w:styleId="NoList2">
    <w:name w:val="No List2"/>
    <w:next w:val="NoList"/>
    <w:uiPriority w:val="99"/>
    <w:semiHidden/>
    <w:unhideWhenUsed/>
    <w:rsid w:val="00AD4B40"/>
  </w:style>
  <w:style w:type="numbering" w:customStyle="1" w:styleId="NoList3">
    <w:name w:val="No List3"/>
    <w:next w:val="NoList"/>
    <w:uiPriority w:val="99"/>
    <w:semiHidden/>
    <w:unhideWhenUsed/>
    <w:rsid w:val="00AD4B40"/>
  </w:style>
  <w:style w:type="character" w:styleId="Strong">
    <w:name w:val="Strong"/>
    <w:basedOn w:val="DefaultParagraphFont"/>
    <w:qFormat/>
    <w:rsid w:val="00AD4B40"/>
    <w:rPr>
      <w:b/>
      <w:bCs/>
    </w:rPr>
  </w:style>
  <w:style w:type="character" w:styleId="Emphasis">
    <w:name w:val="Emphasis"/>
    <w:basedOn w:val="DefaultParagraphFont"/>
    <w:qFormat/>
    <w:rsid w:val="00AD4B40"/>
    <w:rPr>
      <w:i/>
      <w:iCs/>
    </w:rPr>
  </w:style>
  <w:style w:type="numbering" w:customStyle="1" w:styleId="NoList4">
    <w:name w:val="No List4"/>
    <w:next w:val="NoList"/>
    <w:uiPriority w:val="99"/>
    <w:semiHidden/>
    <w:unhideWhenUsed/>
    <w:rsid w:val="00AD4B40"/>
  </w:style>
  <w:style w:type="numbering" w:customStyle="1" w:styleId="NoList5">
    <w:name w:val="No List5"/>
    <w:next w:val="NoList"/>
    <w:uiPriority w:val="99"/>
    <w:semiHidden/>
    <w:unhideWhenUsed/>
    <w:rsid w:val="00AD4B40"/>
  </w:style>
  <w:style w:type="table" w:customStyle="1" w:styleId="TableGrid3">
    <w:name w:val="Table Grid3"/>
    <w:basedOn w:val="TableNormal"/>
    <w:next w:val="TableGrid"/>
    <w:uiPriority w:val="99"/>
    <w:rsid w:val="00AD4B40"/>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rchana">
    <w:name w:val="archana"/>
    <w:basedOn w:val="Normal"/>
    <w:rsid w:val="00AD4B40"/>
    <w:pPr>
      <w:spacing w:after="0" w:line="240" w:lineRule="auto"/>
      <w:jc w:val="both"/>
    </w:pPr>
    <w:rPr>
      <w:rFonts w:ascii="Verdana" w:eastAsia="Times New Roman" w:hAnsi="Verdana" w:cs="Times New Roman"/>
      <w:sz w:val="24"/>
      <w:szCs w:val="24"/>
      <w:lang w:val="en-AU"/>
    </w:rPr>
  </w:style>
  <w:style w:type="character" w:customStyle="1" w:styleId="CharChar20">
    <w:name w:val="Char Char20"/>
    <w:basedOn w:val="DefaultParagraphFont"/>
    <w:uiPriority w:val="99"/>
    <w:rsid w:val="00AD4B40"/>
    <w:rPr>
      <w:rFonts w:ascii="Calibri" w:hAnsi="Calibri" w:cs="Calibri"/>
      <w:b/>
      <w:bCs/>
      <w:sz w:val="28"/>
      <w:szCs w:val="28"/>
    </w:rPr>
  </w:style>
  <w:style w:type="character" w:customStyle="1" w:styleId="CharChar19">
    <w:name w:val="Char Char19"/>
    <w:basedOn w:val="DefaultParagraphFont"/>
    <w:uiPriority w:val="99"/>
    <w:rsid w:val="00AD4B40"/>
    <w:rPr>
      <w:rFonts w:ascii="Calibri" w:hAnsi="Calibri" w:cs="Calibri"/>
      <w:b/>
      <w:bCs/>
      <w:sz w:val="26"/>
      <w:szCs w:val="26"/>
      <w:lang w:val="en-IN" w:eastAsia="en-IN"/>
    </w:rPr>
  </w:style>
  <w:style w:type="character" w:customStyle="1" w:styleId="CharChar18">
    <w:name w:val="Char Char18"/>
    <w:basedOn w:val="DefaultParagraphFont"/>
    <w:uiPriority w:val="99"/>
    <w:rsid w:val="00AD4B40"/>
    <w:rPr>
      <w:rFonts w:ascii="Calibri" w:hAnsi="Calibri" w:cs="Calibri"/>
      <w:b/>
      <w:bCs/>
      <w:sz w:val="28"/>
      <w:szCs w:val="28"/>
    </w:rPr>
  </w:style>
  <w:style w:type="character" w:customStyle="1" w:styleId="CharChar17">
    <w:name w:val="Char Char17"/>
    <w:basedOn w:val="DefaultParagraphFont"/>
    <w:uiPriority w:val="99"/>
    <w:rsid w:val="00AD4B40"/>
    <w:rPr>
      <w:rFonts w:ascii="Calibri" w:hAnsi="Calibri" w:cs="Calibri"/>
      <w:b/>
      <w:bCs/>
      <w:i/>
      <w:iCs/>
      <w:sz w:val="26"/>
      <w:szCs w:val="26"/>
    </w:rPr>
  </w:style>
  <w:style w:type="character" w:customStyle="1" w:styleId="CharChar16">
    <w:name w:val="Char Char16"/>
    <w:basedOn w:val="DefaultParagraphFont"/>
    <w:uiPriority w:val="99"/>
    <w:rsid w:val="00AD4B40"/>
    <w:rPr>
      <w:rFonts w:ascii="Calibri" w:hAnsi="Calibri" w:cs="Calibri"/>
      <w:b/>
      <w:bCs/>
      <w:sz w:val="22"/>
      <w:szCs w:val="22"/>
    </w:rPr>
  </w:style>
  <w:style w:type="character" w:customStyle="1" w:styleId="CharChar14">
    <w:name w:val="Char Char14"/>
    <w:basedOn w:val="DefaultParagraphFont"/>
    <w:uiPriority w:val="99"/>
    <w:rsid w:val="00AD4B40"/>
    <w:rPr>
      <w:rFonts w:ascii="Arial" w:hAnsi="Arial" w:cs="Arial"/>
      <w:smallCaps/>
      <w:sz w:val="24"/>
      <w:szCs w:val="24"/>
      <w:lang w:val="en-US" w:eastAsia="en-US"/>
    </w:rPr>
  </w:style>
  <w:style w:type="character" w:customStyle="1" w:styleId="CharChar11">
    <w:name w:val="Char Char11"/>
    <w:basedOn w:val="DefaultParagraphFont"/>
    <w:uiPriority w:val="99"/>
    <w:rsid w:val="00AD4B40"/>
    <w:rPr>
      <w:rFonts w:ascii="Arial" w:hAnsi="Arial" w:cs="Arial"/>
      <w:sz w:val="24"/>
      <w:szCs w:val="24"/>
      <w:lang w:val="en-US" w:eastAsia="en-US"/>
    </w:rPr>
  </w:style>
  <w:style w:type="character" w:customStyle="1" w:styleId="CharChar10">
    <w:name w:val="Char Char10"/>
    <w:basedOn w:val="DefaultParagraphFont"/>
    <w:uiPriority w:val="99"/>
    <w:rsid w:val="00AD4B40"/>
    <w:rPr>
      <w:rFonts w:ascii="Arial" w:hAnsi="Arial" w:cs="Arial"/>
      <w:sz w:val="24"/>
      <w:szCs w:val="24"/>
      <w:lang w:val="en-US" w:eastAsia="en-US"/>
    </w:rPr>
  </w:style>
  <w:style w:type="character" w:customStyle="1" w:styleId="CharChar9">
    <w:name w:val="Char Char9"/>
    <w:basedOn w:val="DefaultParagraphFont"/>
    <w:uiPriority w:val="99"/>
    <w:rsid w:val="00AD4B40"/>
    <w:rPr>
      <w:rFonts w:ascii="Arial" w:hAnsi="Arial" w:cs="Arial"/>
      <w:sz w:val="24"/>
      <w:szCs w:val="24"/>
      <w:lang w:val="en-US" w:eastAsia="en-US"/>
    </w:rPr>
  </w:style>
  <w:style w:type="character" w:customStyle="1" w:styleId="CharChar8">
    <w:name w:val="Char Char8"/>
    <w:basedOn w:val="DefaultParagraphFont"/>
    <w:uiPriority w:val="99"/>
    <w:semiHidden/>
    <w:rsid w:val="00AD4B40"/>
    <w:rPr>
      <w:rFonts w:ascii="Calibri" w:hAnsi="Calibri" w:cs="Calibri"/>
      <w:sz w:val="16"/>
      <w:szCs w:val="16"/>
    </w:rPr>
  </w:style>
  <w:style w:type="character" w:customStyle="1" w:styleId="CharChar7">
    <w:name w:val="Char Char7"/>
    <w:basedOn w:val="DefaultParagraphFont"/>
    <w:uiPriority w:val="99"/>
    <w:rsid w:val="00AD4B40"/>
    <w:rPr>
      <w:rFonts w:ascii="Tahoma" w:hAnsi="Tahoma" w:cs="Tahoma"/>
      <w:sz w:val="16"/>
      <w:szCs w:val="16"/>
    </w:rPr>
  </w:style>
  <w:style w:type="character" w:customStyle="1" w:styleId="CharChar6">
    <w:name w:val="Char Char6"/>
    <w:basedOn w:val="DefaultParagraphFont"/>
    <w:uiPriority w:val="99"/>
    <w:semiHidden/>
    <w:rsid w:val="00AD4B40"/>
    <w:rPr>
      <w:rFonts w:ascii="Calibri" w:hAnsi="Calibri" w:cs="Calibri"/>
    </w:rPr>
  </w:style>
  <w:style w:type="character" w:customStyle="1" w:styleId="CharChar5">
    <w:name w:val="Char Char5"/>
    <w:basedOn w:val="CharChar6"/>
    <w:uiPriority w:val="99"/>
    <w:semiHidden/>
    <w:rsid w:val="00AD4B40"/>
    <w:rPr>
      <w:rFonts w:ascii="Calibri" w:hAnsi="Calibri" w:cs="Calibri"/>
      <w:b/>
      <w:bCs/>
    </w:rPr>
  </w:style>
  <w:style w:type="character" w:customStyle="1" w:styleId="CharChar4">
    <w:name w:val="Char Char4"/>
    <w:basedOn w:val="DefaultParagraphFont"/>
    <w:uiPriority w:val="99"/>
    <w:semiHidden/>
    <w:rsid w:val="00AD4B40"/>
    <w:rPr>
      <w:rFonts w:ascii="Calibri" w:hAnsi="Calibri" w:cs="Calibri"/>
      <w:sz w:val="22"/>
      <w:szCs w:val="22"/>
    </w:rPr>
  </w:style>
  <w:style w:type="character" w:customStyle="1" w:styleId="CharChar3">
    <w:name w:val="Char Char3"/>
    <w:basedOn w:val="DefaultParagraphFont"/>
    <w:uiPriority w:val="99"/>
    <w:rsid w:val="00AD4B40"/>
    <w:rPr>
      <w:rFonts w:ascii="Calibri" w:hAnsi="Calibri" w:cs="Calibri"/>
      <w:sz w:val="22"/>
      <w:szCs w:val="22"/>
      <w:lang w:val="en-US" w:eastAsia="en-US"/>
    </w:rPr>
  </w:style>
  <w:style w:type="character" w:customStyle="1" w:styleId="CharChar2">
    <w:name w:val="Char Char2"/>
    <w:basedOn w:val="DefaultParagraphFont"/>
    <w:uiPriority w:val="99"/>
    <w:semiHidden/>
    <w:rsid w:val="00AD4B40"/>
    <w:rPr>
      <w:rFonts w:ascii="Consolas" w:hAnsi="Consolas" w:cs="Consolas"/>
      <w:sz w:val="21"/>
      <w:szCs w:val="21"/>
      <w:lang w:val="en-US" w:eastAsia="en-US"/>
    </w:rPr>
  </w:style>
  <w:style w:type="character" w:customStyle="1" w:styleId="CharChar13">
    <w:name w:val="Char Char13"/>
    <w:basedOn w:val="DefaultParagraphFont"/>
    <w:uiPriority w:val="99"/>
    <w:rsid w:val="00AD4B40"/>
    <w:rPr>
      <w:rFonts w:ascii="Calibri" w:hAnsi="Calibri" w:cs="Calibri"/>
      <w:b/>
      <w:bCs/>
      <w:kern w:val="28"/>
      <w:sz w:val="22"/>
      <w:szCs w:val="22"/>
    </w:rPr>
  </w:style>
  <w:style w:type="character" w:customStyle="1" w:styleId="CharChar12">
    <w:name w:val="Char Char12"/>
    <w:basedOn w:val="DefaultParagraphFont"/>
    <w:uiPriority w:val="99"/>
    <w:rsid w:val="00AD4B40"/>
    <w:rPr>
      <w:rFonts w:ascii="Arial" w:hAnsi="Arial" w:cs="Arial"/>
      <w:b/>
      <w:bCs/>
      <w:lang w:val="en-US" w:eastAsia="en-US"/>
    </w:rPr>
  </w:style>
  <w:style w:type="character" w:customStyle="1" w:styleId="CharChar1">
    <w:name w:val="Char Char1"/>
    <w:basedOn w:val="DefaultParagraphFont"/>
    <w:uiPriority w:val="99"/>
    <w:semiHidden/>
    <w:rsid w:val="00AD4B40"/>
    <w:rPr>
      <w:rFonts w:ascii="Tahoma" w:hAnsi="Tahoma" w:cs="Tahoma"/>
      <w:sz w:val="16"/>
      <w:szCs w:val="16"/>
      <w:lang w:val="en-US" w:eastAsia="en-US"/>
    </w:rPr>
  </w:style>
  <w:style w:type="character" w:customStyle="1" w:styleId="CharChar">
    <w:name w:val="Char Char"/>
    <w:basedOn w:val="DefaultParagraphFont"/>
    <w:uiPriority w:val="99"/>
    <w:rsid w:val="00AD4B40"/>
    <w:rPr>
      <w:rFonts w:ascii="Calibri" w:hAnsi="Calibri" w:cs="Calibri"/>
      <w:lang w:val="en-US" w:eastAsia="en-US"/>
    </w:rPr>
  </w:style>
  <w:style w:type="character" w:customStyle="1" w:styleId="CharChar15">
    <w:name w:val="Char Char15"/>
    <w:basedOn w:val="DefaultParagraphFont"/>
    <w:uiPriority w:val="99"/>
    <w:rsid w:val="00AD4B40"/>
    <w:rPr>
      <w:rFonts w:ascii="Calibri" w:hAnsi="Calibri" w:cs="Calibri"/>
      <w:sz w:val="24"/>
      <w:szCs w:val="24"/>
    </w:rPr>
  </w:style>
  <w:style w:type="character" w:styleId="PageNumber">
    <w:name w:val="page number"/>
    <w:basedOn w:val="DefaultParagraphFont"/>
    <w:uiPriority w:val="99"/>
    <w:rsid w:val="00AD4B40"/>
    <w:rPr>
      <w:rFonts w:cs="Times New Roman"/>
    </w:rPr>
  </w:style>
  <w:style w:type="paragraph" w:styleId="Revision">
    <w:name w:val="Revision"/>
    <w:hidden/>
    <w:uiPriority w:val="99"/>
    <w:semiHidden/>
    <w:rsid w:val="00AD4B40"/>
    <w:pPr>
      <w:spacing w:after="0" w:line="240" w:lineRule="auto"/>
    </w:pPr>
    <w:rPr>
      <w:rFonts w:ascii="Arial" w:eastAsia="Times New Roman" w:hAnsi="Arial" w:cs="Arial"/>
      <w:lang w:val="en-US"/>
    </w:rPr>
  </w:style>
  <w:style w:type="numbering" w:customStyle="1" w:styleId="NoList6">
    <w:name w:val="No List6"/>
    <w:next w:val="NoList"/>
    <w:uiPriority w:val="99"/>
    <w:semiHidden/>
    <w:unhideWhenUsed/>
    <w:rsid w:val="00AD4B40"/>
  </w:style>
  <w:style w:type="table" w:customStyle="1" w:styleId="TableGrid5">
    <w:name w:val="Table Grid5"/>
    <w:basedOn w:val="TableNormal"/>
    <w:next w:val="TableGrid"/>
    <w:uiPriority w:val="59"/>
    <w:rsid w:val="00AD4B40"/>
    <w:pPr>
      <w:spacing w:after="0" w:line="240" w:lineRule="auto"/>
    </w:pPr>
    <w:rPr>
      <w:rFonts w:ascii="Calibri" w:eastAsia="Calibri"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
    <w:name w:val="xl26"/>
    <w:basedOn w:val="Normal"/>
    <w:uiPriority w:val="99"/>
    <w:rsid w:val="00AD4B40"/>
    <w:pPr>
      <w:pBdr>
        <w:bottom w:val="single" w:sz="4" w:space="0" w:color="000000"/>
        <w:right w:val="single" w:sz="4" w:space="0" w:color="000000"/>
      </w:pBdr>
      <w:spacing w:before="100" w:beforeAutospacing="1" w:after="100" w:afterAutospacing="1" w:line="240" w:lineRule="auto"/>
      <w:textAlignment w:val="top"/>
    </w:pPr>
    <w:rPr>
      <w:rFonts w:ascii="Calibri" w:eastAsia="Arial Unicode MS" w:hAnsi="Calibri" w:cs="Calibri"/>
      <w:sz w:val="24"/>
      <w:szCs w:val="24"/>
      <w:lang w:val="en-US"/>
    </w:rPr>
  </w:style>
  <w:style w:type="table" w:customStyle="1" w:styleId="TableGrid11">
    <w:name w:val="Table Grid11"/>
    <w:uiPriority w:val="99"/>
    <w:rsid w:val="00AD4B40"/>
    <w:pPr>
      <w:spacing w:after="0" w:line="240" w:lineRule="auto"/>
    </w:pPr>
    <w:rPr>
      <w:rFonts w:ascii="Times New Roman" w:eastAsia="Times New Roman" w:hAnsi="Times New Roman" w:cs="Times New Roman"/>
      <w:sz w:val="20"/>
      <w:szCs w:val="20"/>
      <w:lang w:val="en-US" w:eastAsia="en-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itleChar1">
    <w:name w:val="Title Char1"/>
    <w:basedOn w:val="DefaultParagraphFont"/>
    <w:uiPriority w:val="99"/>
    <w:locked/>
    <w:rsid w:val="00AD4B40"/>
    <w:rPr>
      <w:rFonts w:ascii="Calibri" w:hAnsi="Calibri" w:cs="Calibri"/>
      <w:b/>
      <w:bCs/>
      <w:kern w:val="28"/>
      <w:sz w:val="22"/>
      <w:szCs w:val="22"/>
      <w:lang w:val="en-US" w:eastAsia="en-US"/>
    </w:rPr>
  </w:style>
  <w:style w:type="numbering" w:customStyle="1" w:styleId="NoList11">
    <w:name w:val="No List11"/>
    <w:next w:val="NoList"/>
    <w:semiHidden/>
    <w:rsid w:val="00AD4B40"/>
  </w:style>
  <w:style w:type="numbering" w:customStyle="1" w:styleId="NoList7">
    <w:name w:val="No List7"/>
    <w:next w:val="NoList"/>
    <w:uiPriority w:val="99"/>
    <w:semiHidden/>
    <w:unhideWhenUsed/>
    <w:rsid w:val="00AD4B40"/>
  </w:style>
  <w:style w:type="table" w:customStyle="1" w:styleId="TableGrid6">
    <w:name w:val="Table Grid6"/>
    <w:basedOn w:val="TableNormal"/>
    <w:next w:val="TableGrid"/>
    <w:uiPriority w:val="59"/>
    <w:rsid w:val="00AD4B40"/>
    <w:pPr>
      <w:spacing w:after="0" w:line="240" w:lineRule="auto"/>
    </w:pPr>
    <w:rPr>
      <w:rFonts w:ascii="Calibri" w:eastAsia="Calibri"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uiPriority w:val="99"/>
    <w:rsid w:val="00AD4B40"/>
    <w:pPr>
      <w:spacing w:after="0" w:line="240" w:lineRule="auto"/>
    </w:pPr>
    <w:rPr>
      <w:rFonts w:ascii="Times New Roman" w:eastAsia="Times New Roman" w:hAnsi="Times New Roman" w:cs="Times New Roman"/>
      <w:sz w:val="20"/>
      <w:szCs w:val="20"/>
      <w:lang w:val="en-US" w:eastAsia="en-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2">
    <w:name w:val="No List12"/>
    <w:next w:val="NoList"/>
    <w:semiHidden/>
    <w:rsid w:val="00AD4B40"/>
  </w:style>
  <w:style w:type="table" w:customStyle="1" w:styleId="TableGrid22">
    <w:name w:val="Table Grid22"/>
    <w:basedOn w:val="TableNormal"/>
    <w:next w:val="TableGrid"/>
    <w:rsid w:val="00AD4B40"/>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D4B40"/>
  </w:style>
  <w:style w:type="table" w:customStyle="1" w:styleId="TableGrid7">
    <w:name w:val="Table Grid7"/>
    <w:basedOn w:val="TableNormal"/>
    <w:next w:val="TableGrid"/>
    <w:uiPriority w:val="59"/>
    <w:rsid w:val="00AD4B40"/>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8">
    <w:name w:val="Table Grid8"/>
    <w:basedOn w:val="TableNormal"/>
    <w:next w:val="TableGrid"/>
    <w:uiPriority w:val="59"/>
    <w:rsid w:val="00AD4B40"/>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
    <w:name w:val="No List21"/>
    <w:next w:val="NoList"/>
    <w:semiHidden/>
    <w:unhideWhenUsed/>
    <w:rsid w:val="00AD4B40"/>
  </w:style>
  <w:style w:type="numbering" w:customStyle="1" w:styleId="NoList31">
    <w:name w:val="No List31"/>
    <w:next w:val="NoList"/>
    <w:semiHidden/>
    <w:unhideWhenUsed/>
    <w:rsid w:val="00AD4B40"/>
  </w:style>
  <w:style w:type="numbering" w:customStyle="1" w:styleId="NoList41">
    <w:name w:val="No List41"/>
    <w:next w:val="NoList"/>
    <w:semiHidden/>
    <w:unhideWhenUsed/>
    <w:rsid w:val="00AD4B40"/>
  </w:style>
  <w:style w:type="numbering" w:customStyle="1" w:styleId="NoList51">
    <w:name w:val="No List51"/>
    <w:next w:val="NoList"/>
    <w:semiHidden/>
    <w:unhideWhenUsed/>
    <w:rsid w:val="00AD4B40"/>
  </w:style>
  <w:style w:type="numbering" w:customStyle="1" w:styleId="NoList61">
    <w:name w:val="No List61"/>
    <w:next w:val="NoList"/>
    <w:uiPriority w:val="99"/>
    <w:semiHidden/>
    <w:unhideWhenUsed/>
    <w:rsid w:val="00AD4B40"/>
  </w:style>
  <w:style w:type="table" w:customStyle="1" w:styleId="TableGrid41">
    <w:name w:val="Table Grid41"/>
    <w:basedOn w:val="TableNormal"/>
    <w:next w:val="TableGrid"/>
    <w:uiPriority w:val="59"/>
    <w:rsid w:val="00AD4B40"/>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AD4B40"/>
  </w:style>
  <w:style w:type="numbering" w:customStyle="1" w:styleId="NoList211">
    <w:name w:val="No List211"/>
    <w:next w:val="NoList"/>
    <w:uiPriority w:val="99"/>
    <w:semiHidden/>
    <w:unhideWhenUsed/>
    <w:rsid w:val="00AD4B40"/>
  </w:style>
  <w:style w:type="numbering" w:customStyle="1" w:styleId="NoList311">
    <w:name w:val="No List311"/>
    <w:next w:val="NoList"/>
    <w:uiPriority w:val="99"/>
    <w:semiHidden/>
    <w:unhideWhenUsed/>
    <w:rsid w:val="00AD4B40"/>
  </w:style>
  <w:style w:type="numbering" w:customStyle="1" w:styleId="NoList411">
    <w:name w:val="No List411"/>
    <w:next w:val="NoList"/>
    <w:uiPriority w:val="99"/>
    <w:semiHidden/>
    <w:unhideWhenUsed/>
    <w:rsid w:val="00AD4B40"/>
  </w:style>
  <w:style w:type="numbering" w:customStyle="1" w:styleId="NoList511">
    <w:name w:val="No List511"/>
    <w:next w:val="NoList"/>
    <w:uiPriority w:val="99"/>
    <w:semiHidden/>
    <w:unhideWhenUsed/>
    <w:rsid w:val="00AD4B40"/>
  </w:style>
  <w:style w:type="character" w:styleId="FollowedHyperlink">
    <w:name w:val="FollowedHyperlink"/>
    <w:basedOn w:val="DefaultParagraphFont"/>
    <w:uiPriority w:val="99"/>
    <w:semiHidden/>
    <w:unhideWhenUsed/>
    <w:rsid w:val="00AD4B40"/>
    <w:rPr>
      <w:color w:val="954F72" w:themeColor="followedHyperlink"/>
      <w:u w:val="single"/>
    </w:rPr>
  </w:style>
  <w:style w:type="character" w:customStyle="1" w:styleId="Heading1Char1">
    <w:name w:val="Heading 1 Char1"/>
    <w:aliases w:val="Section Char1,Section Heading Char1,Article Heading Char1,HEADING 1 Char1,App1 Char1,EASI 1 Char1,Hoofdstuk Char1,Heading 1-nonum Char2,H1 Char1,1 Char1,h1 Char1,Header 1 Char1,Heading 1-nonum Char Char1,Heading 11 Char1,Section1 Char1"/>
    <w:basedOn w:val="DefaultParagraphFont"/>
    <w:rsid w:val="00AD4B40"/>
    <w:rPr>
      <w:rFonts w:asciiTheme="majorHAnsi" w:eastAsiaTheme="majorEastAsia" w:hAnsiTheme="majorHAnsi" w:cstheme="majorBidi"/>
      <w:b/>
      <w:bCs/>
      <w:color w:val="2E74B5" w:themeColor="accent1" w:themeShade="BF"/>
      <w:sz w:val="28"/>
      <w:szCs w:val="28"/>
    </w:rPr>
  </w:style>
  <w:style w:type="paragraph" w:customStyle="1" w:styleId="ARRH2">
    <w:name w:val="ARR H 2"/>
    <w:basedOn w:val="Normal"/>
    <w:rsid w:val="00AD4B40"/>
    <w:pPr>
      <w:spacing w:before="120" w:after="240" w:line="360" w:lineRule="auto"/>
    </w:pPr>
    <w:rPr>
      <w:rFonts w:ascii="Calibri" w:eastAsia="Times New Roman" w:hAnsi="Calibri" w:cs="Times New Roman"/>
      <w:lang w:val="en-US"/>
    </w:rPr>
  </w:style>
  <w:style w:type="paragraph" w:styleId="Quote">
    <w:name w:val="Quote"/>
    <w:basedOn w:val="Normal"/>
    <w:next w:val="Normal"/>
    <w:link w:val="QuoteChar"/>
    <w:uiPriority w:val="1"/>
    <w:unhideWhenUsed/>
    <w:qFormat/>
    <w:rsid w:val="00AD4B40"/>
    <w:pPr>
      <w:spacing w:before="240" w:after="240" w:line="288" w:lineRule="auto"/>
    </w:pPr>
    <w:rPr>
      <w:i/>
      <w:iCs/>
      <w:color w:val="5B9BD5" w:themeColor="accent1"/>
      <w:kern w:val="20"/>
      <w:sz w:val="24"/>
      <w:szCs w:val="20"/>
      <w:lang w:val="en-US" w:eastAsia="ja-JP"/>
    </w:rPr>
  </w:style>
  <w:style w:type="character" w:customStyle="1" w:styleId="QuoteChar">
    <w:name w:val="Quote Char"/>
    <w:basedOn w:val="DefaultParagraphFont"/>
    <w:link w:val="Quote"/>
    <w:uiPriority w:val="1"/>
    <w:rsid w:val="00AD4B40"/>
    <w:rPr>
      <w:i/>
      <w:iCs/>
      <w:color w:val="5B9BD5" w:themeColor="accent1"/>
      <w:kern w:val="20"/>
      <w:sz w:val="24"/>
      <w:szCs w:val="20"/>
      <w:lang w:val="en-US" w:eastAsia="ja-JP"/>
    </w:rPr>
  </w:style>
  <w:style w:type="paragraph" w:customStyle="1" w:styleId="ARRMainBody3">
    <w:name w:val="ARR Main Body 3"/>
    <w:rsid w:val="00AD4B40"/>
    <w:pPr>
      <w:spacing w:before="120" w:after="120" w:line="360" w:lineRule="auto"/>
      <w:ind w:left="1440"/>
      <w:jc w:val="both"/>
    </w:pPr>
    <w:rPr>
      <w:rFonts w:ascii="Calibri" w:eastAsia="Times New Roman" w:hAnsi="Calibri" w:cs="Times New Roman"/>
      <w:sz w:val="20"/>
      <w:szCs w:val="20"/>
      <w:lang w:val="en-US"/>
    </w:rPr>
  </w:style>
  <w:style w:type="paragraph" w:customStyle="1" w:styleId="ARRMainBody2">
    <w:name w:val="ARR Main Body 2"/>
    <w:basedOn w:val="Normal"/>
    <w:autoRedefine/>
    <w:rsid w:val="009F32E7"/>
    <w:pPr>
      <w:spacing w:after="0" w:line="240" w:lineRule="auto"/>
      <w:ind w:left="1620"/>
      <w:jc w:val="both"/>
    </w:pPr>
    <w:rPr>
      <w:i/>
      <w:sz w:val="24"/>
      <w:szCs w:val="24"/>
      <w:lang w:eastAsia="ja-JP" w:bidi="te-IN"/>
    </w:rPr>
  </w:style>
  <w:style w:type="table" w:customStyle="1" w:styleId="ListTable31">
    <w:name w:val="List Table 31"/>
    <w:basedOn w:val="TableNormal"/>
    <w:uiPriority w:val="48"/>
    <w:rsid w:val="00AD4B40"/>
    <w:pPr>
      <w:spacing w:after="0" w:line="240" w:lineRule="auto"/>
    </w:pPr>
    <w:rPr>
      <w:color w:val="404040" w:themeColor="text1" w:themeTint="BF"/>
      <w:sz w:val="20"/>
      <w:szCs w:val="20"/>
      <w:lang w:val="en-US" w:eastAsia="ja-JP"/>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numbering" w:customStyle="1" w:styleId="CurrentList1">
    <w:name w:val="Current List1"/>
    <w:rsid w:val="00AD4B40"/>
    <w:pPr>
      <w:numPr>
        <w:numId w:val="5"/>
      </w:numPr>
    </w:pPr>
  </w:style>
  <w:style w:type="table" w:customStyle="1" w:styleId="ListTable311">
    <w:name w:val="List Table 311"/>
    <w:basedOn w:val="TableNormal"/>
    <w:uiPriority w:val="48"/>
    <w:rsid w:val="00AD4B40"/>
    <w:pPr>
      <w:spacing w:after="0" w:line="240" w:lineRule="auto"/>
    </w:pPr>
    <w:rPr>
      <w:color w:val="404040" w:themeColor="text1" w:themeTint="BF"/>
      <w:sz w:val="20"/>
      <w:szCs w:val="20"/>
      <w:lang w:val="en-US" w:eastAsia="ja-JP"/>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styleId="NormalWeb">
    <w:name w:val="Normal (Web)"/>
    <w:basedOn w:val="Normal"/>
    <w:uiPriority w:val="99"/>
    <w:unhideWhenUsed/>
    <w:rsid w:val="00AD4B4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yiv1723053427apple-style-span">
    <w:name w:val="yiv1723053427apple-style-span"/>
    <w:basedOn w:val="DefaultParagraphFont"/>
    <w:rsid w:val="00AD4B40"/>
  </w:style>
  <w:style w:type="character" w:customStyle="1" w:styleId="NoSpacingChar">
    <w:name w:val="No Spacing Char"/>
    <w:basedOn w:val="DefaultParagraphFont"/>
    <w:link w:val="NoSpacing"/>
    <w:uiPriority w:val="1"/>
    <w:locked/>
    <w:rsid w:val="00AD4B40"/>
    <w:rPr>
      <w:rFonts w:ascii="Arial" w:eastAsia="Times New Roman" w:hAnsi="Arial" w:cs="Arial"/>
      <w:szCs w:val="24"/>
      <w:lang w:val="en-US"/>
    </w:rPr>
  </w:style>
  <w:style w:type="table" w:customStyle="1" w:styleId="LightList-Accent11">
    <w:name w:val="Light List - Accent 11"/>
    <w:basedOn w:val="TableNormal"/>
    <w:uiPriority w:val="61"/>
    <w:rsid w:val="00AD4B40"/>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customStyle="1" w:styleId="ColorfulList-Accent11">
    <w:name w:val="Colorful List - Accent 11"/>
    <w:basedOn w:val="Normal"/>
    <w:uiPriority w:val="34"/>
    <w:qFormat/>
    <w:rsid w:val="00AD4B40"/>
    <w:pPr>
      <w:spacing w:after="180" w:line="336" w:lineRule="auto"/>
      <w:ind w:left="720"/>
      <w:contextualSpacing/>
    </w:pPr>
    <w:rPr>
      <w:rFonts w:ascii="Arial" w:eastAsia="Arial" w:hAnsi="Arial" w:cs="Arial"/>
      <w:color w:val="404040"/>
      <w:sz w:val="20"/>
      <w:szCs w:val="20"/>
      <w:lang w:val="en-US" w:eastAsia="ja-JP"/>
    </w:rPr>
  </w:style>
  <w:style w:type="character" w:customStyle="1" w:styleId="BalloonTextChar1">
    <w:name w:val="Balloon Text Char1"/>
    <w:basedOn w:val="DefaultParagraphFont"/>
    <w:uiPriority w:val="99"/>
    <w:rsid w:val="00AD4B40"/>
    <w:rPr>
      <w:rFonts w:ascii="Tahoma" w:eastAsia="Times New Roman" w:hAnsi="Tahoma" w:cs="Tahoma"/>
      <w:sz w:val="16"/>
      <w:szCs w:val="16"/>
      <w:lang w:eastAsia="en-IN"/>
    </w:rPr>
  </w:style>
  <w:style w:type="paragraph" w:customStyle="1" w:styleId="ListAlpha">
    <w:name w:val="List Alpha"/>
    <w:basedOn w:val="Normal"/>
    <w:qFormat/>
    <w:rsid w:val="00AD4B40"/>
    <w:pPr>
      <w:numPr>
        <w:ilvl w:val="1"/>
        <w:numId w:val="6"/>
      </w:numPr>
      <w:tabs>
        <w:tab w:val="clear" w:pos="794"/>
        <w:tab w:val="num" w:pos="397"/>
      </w:tabs>
      <w:spacing w:before="60" w:after="60" w:line="240" w:lineRule="atLeast"/>
      <w:ind w:left="397"/>
      <w:contextualSpacing/>
    </w:pPr>
    <w:rPr>
      <w:rFonts w:eastAsiaTheme="minorEastAsia"/>
      <w:sz w:val="20"/>
      <w:lang w:val="en-US"/>
    </w:rPr>
  </w:style>
  <w:style w:type="paragraph" w:customStyle="1" w:styleId="ListAlpha2">
    <w:name w:val="List Alpha 2"/>
    <w:basedOn w:val="ListAlpha"/>
    <w:qFormat/>
    <w:rsid w:val="00AD4B40"/>
    <w:pPr>
      <w:numPr>
        <w:ilvl w:val="2"/>
      </w:numPr>
      <w:tabs>
        <w:tab w:val="clear" w:pos="1191"/>
        <w:tab w:val="num" w:pos="794"/>
      </w:tabs>
      <w:ind w:left="794"/>
    </w:pPr>
  </w:style>
  <w:style w:type="paragraph" w:customStyle="1" w:styleId="ListAlpha3">
    <w:name w:val="List Alpha 3"/>
    <w:basedOn w:val="ListAlpha2"/>
    <w:qFormat/>
    <w:rsid w:val="00AD4B40"/>
    <w:pPr>
      <w:numPr>
        <w:ilvl w:val="4"/>
      </w:numPr>
      <w:tabs>
        <w:tab w:val="clear" w:pos="1985"/>
        <w:tab w:val="num" w:pos="1191"/>
      </w:tabs>
      <w:ind w:left="1191"/>
    </w:pPr>
  </w:style>
  <w:style w:type="character" w:customStyle="1" w:styleId="apple-converted-space">
    <w:name w:val="apple-converted-space"/>
    <w:basedOn w:val="DefaultParagraphFont"/>
    <w:rsid w:val="00AD4B40"/>
  </w:style>
  <w:style w:type="paragraph" w:customStyle="1" w:styleId="j2">
    <w:name w:val="j2"/>
    <w:basedOn w:val="Normal"/>
    <w:rsid w:val="00AD4B40"/>
    <w:pPr>
      <w:spacing w:beforeLines="1" w:afterLines="1" w:line="240" w:lineRule="auto"/>
    </w:pPr>
    <w:rPr>
      <w:rFonts w:ascii="Times" w:hAnsi="Times"/>
      <w:sz w:val="20"/>
      <w:szCs w:val="20"/>
      <w:lang w:val="en-GB"/>
    </w:rPr>
  </w:style>
  <w:style w:type="table" w:customStyle="1" w:styleId="ListTable32">
    <w:name w:val="List Table 32"/>
    <w:basedOn w:val="TableNormal"/>
    <w:uiPriority w:val="48"/>
    <w:rsid w:val="00AD4B40"/>
    <w:pPr>
      <w:spacing w:after="0" w:line="240" w:lineRule="auto"/>
    </w:pPr>
    <w:rPr>
      <w:color w:val="404040" w:themeColor="text1" w:themeTint="BF"/>
      <w:sz w:val="20"/>
      <w:szCs w:val="20"/>
      <w:lang w:val="en-US" w:eastAsia="ja-JP"/>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font5">
    <w:name w:val="font5"/>
    <w:basedOn w:val="Normal"/>
    <w:rsid w:val="00AD4B40"/>
    <w:pPr>
      <w:spacing w:before="100" w:beforeAutospacing="1" w:after="100" w:afterAutospacing="1" w:line="240" w:lineRule="auto"/>
    </w:pPr>
    <w:rPr>
      <w:rFonts w:ascii="Calibri" w:eastAsia="Times New Roman" w:hAnsi="Calibri" w:cs="Times New Roman"/>
      <w:color w:val="000000"/>
      <w:lang w:val="en-US"/>
    </w:rPr>
  </w:style>
  <w:style w:type="paragraph" w:customStyle="1" w:styleId="xl71">
    <w:name w:val="xl71"/>
    <w:basedOn w:val="Normal"/>
    <w:rsid w:val="00AD4B40"/>
    <w:pPr>
      <w:spacing w:before="100" w:beforeAutospacing="1" w:after="100" w:afterAutospacing="1" w:line="240" w:lineRule="auto"/>
    </w:pPr>
    <w:rPr>
      <w:rFonts w:ascii="Times New Roman" w:eastAsia="Times New Roman" w:hAnsi="Times New Roman" w:cs="Times New Roman"/>
      <w:b/>
      <w:bCs/>
      <w:sz w:val="24"/>
      <w:szCs w:val="24"/>
      <w:lang w:val="en-US"/>
    </w:rPr>
  </w:style>
  <w:style w:type="paragraph" w:customStyle="1" w:styleId="xl72">
    <w:name w:val="xl72"/>
    <w:basedOn w:val="Normal"/>
    <w:rsid w:val="00AD4B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en-US"/>
    </w:rPr>
  </w:style>
  <w:style w:type="paragraph" w:customStyle="1" w:styleId="xl73">
    <w:name w:val="xl73"/>
    <w:basedOn w:val="Normal"/>
    <w:rsid w:val="00AD4B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en-US"/>
    </w:rPr>
  </w:style>
  <w:style w:type="paragraph" w:customStyle="1" w:styleId="xl74">
    <w:name w:val="xl74"/>
    <w:basedOn w:val="Normal"/>
    <w:rsid w:val="00AD4B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val="en-US"/>
    </w:rPr>
  </w:style>
  <w:style w:type="paragraph" w:customStyle="1" w:styleId="xl75">
    <w:name w:val="xl75"/>
    <w:basedOn w:val="Normal"/>
    <w:rsid w:val="00AD4B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en-US"/>
    </w:rPr>
  </w:style>
  <w:style w:type="paragraph" w:customStyle="1" w:styleId="xl76">
    <w:name w:val="xl76"/>
    <w:basedOn w:val="Normal"/>
    <w:rsid w:val="00AD4B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en-US"/>
    </w:rPr>
  </w:style>
  <w:style w:type="paragraph" w:customStyle="1" w:styleId="xl77">
    <w:name w:val="xl77"/>
    <w:basedOn w:val="Normal"/>
    <w:rsid w:val="00AD4B4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val="en-US"/>
    </w:rPr>
  </w:style>
  <w:style w:type="paragraph" w:customStyle="1" w:styleId="xl78">
    <w:name w:val="xl78"/>
    <w:basedOn w:val="Normal"/>
    <w:rsid w:val="00AD4B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79">
    <w:name w:val="xl79"/>
    <w:basedOn w:val="Normal"/>
    <w:rsid w:val="00AD4B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en-US"/>
    </w:rPr>
  </w:style>
  <w:style w:type="paragraph" w:customStyle="1" w:styleId="xl81">
    <w:name w:val="xl81"/>
    <w:basedOn w:val="Normal"/>
    <w:rsid w:val="00AD4B40"/>
    <w:pP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82">
    <w:name w:val="xl82"/>
    <w:basedOn w:val="Normal"/>
    <w:rsid w:val="00AD4B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en-US"/>
    </w:rPr>
  </w:style>
  <w:style w:type="paragraph" w:customStyle="1" w:styleId="xl83">
    <w:name w:val="xl83"/>
    <w:basedOn w:val="Normal"/>
    <w:rsid w:val="00AD4B4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val="en-US"/>
    </w:rPr>
  </w:style>
  <w:style w:type="paragraph" w:customStyle="1" w:styleId="xl84">
    <w:name w:val="xl84"/>
    <w:basedOn w:val="Normal"/>
    <w:rsid w:val="00AD4B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en-US"/>
    </w:rPr>
  </w:style>
  <w:style w:type="paragraph" w:customStyle="1" w:styleId="xl85">
    <w:name w:val="xl85"/>
    <w:basedOn w:val="Normal"/>
    <w:rsid w:val="00AD4B40"/>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val="en-US"/>
    </w:rPr>
  </w:style>
  <w:style w:type="paragraph" w:customStyle="1" w:styleId="xl86">
    <w:name w:val="xl86"/>
    <w:basedOn w:val="Normal"/>
    <w:rsid w:val="00AD4B40"/>
    <w:pP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87">
    <w:name w:val="xl87"/>
    <w:basedOn w:val="Normal"/>
    <w:rsid w:val="00AD4B40"/>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val="en-US"/>
    </w:rPr>
  </w:style>
  <w:style w:type="paragraph" w:customStyle="1" w:styleId="xl88">
    <w:name w:val="xl88"/>
    <w:basedOn w:val="Normal"/>
    <w:rsid w:val="00AD4B4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val="en-US"/>
    </w:rPr>
  </w:style>
  <w:style w:type="paragraph" w:customStyle="1" w:styleId="xl89">
    <w:name w:val="xl89"/>
    <w:basedOn w:val="Normal"/>
    <w:rsid w:val="00AD4B4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en-US"/>
    </w:rPr>
  </w:style>
  <w:style w:type="paragraph" w:customStyle="1" w:styleId="xl90">
    <w:name w:val="xl90"/>
    <w:basedOn w:val="Normal"/>
    <w:rsid w:val="00AD4B4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val="en-US"/>
    </w:rPr>
  </w:style>
  <w:style w:type="paragraph" w:customStyle="1" w:styleId="xl91">
    <w:name w:val="xl91"/>
    <w:basedOn w:val="Normal"/>
    <w:rsid w:val="00AD4B4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92">
    <w:name w:val="xl92"/>
    <w:basedOn w:val="Normal"/>
    <w:rsid w:val="00AD4B40"/>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val="en-US"/>
    </w:rPr>
  </w:style>
  <w:style w:type="paragraph" w:customStyle="1" w:styleId="xl93">
    <w:name w:val="xl93"/>
    <w:basedOn w:val="Normal"/>
    <w:rsid w:val="00AD4B40"/>
    <w:pPr>
      <w:spacing w:before="100" w:beforeAutospacing="1" w:after="100" w:afterAutospacing="1" w:line="240" w:lineRule="auto"/>
    </w:pPr>
    <w:rPr>
      <w:rFonts w:ascii="Times New Roman" w:eastAsia="Times New Roman" w:hAnsi="Times New Roman" w:cs="Times New Roman"/>
      <w:i/>
      <w:iCs/>
      <w:sz w:val="24"/>
      <w:szCs w:val="24"/>
      <w:lang w:val="en-US"/>
    </w:rPr>
  </w:style>
  <w:style w:type="paragraph" w:customStyle="1" w:styleId="xl94">
    <w:name w:val="xl94"/>
    <w:basedOn w:val="Normal"/>
    <w:rsid w:val="00AD4B40"/>
    <w:pP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95">
    <w:name w:val="xl95"/>
    <w:basedOn w:val="Normal"/>
    <w:rsid w:val="00AD4B40"/>
    <w:pP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96">
    <w:name w:val="xl96"/>
    <w:basedOn w:val="Normal"/>
    <w:rsid w:val="00AD4B40"/>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val="en-US"/>
    </w:rPr>
  </w:style>
  <w:style w:type="paragraph" w:customStyle="1" w:styleId="xl97">
    <w:name w:val="xl97"/>
    <w:basedOn w:val="Normal"/>
    <w:rsid w:val="00AD4B4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US"/>
    </w:rPr>
  </w:style>
  <w:style w:type="paragraph" w:customStyle="1" w:styleId="xl98">
    <w:name w:val="xl98"/>
    <w:basedOn w:val="Normal"/>
    <w:rsid w:val="00AD4B4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US"/>
    </w:rPr>
  </w:style>
  <w:style w:type="paragraph" w:customStyle="1" w:styleId="xl99">
    <w:name w:val="xl99"/>
    <w:basedOn w:val="Normal"/>
    <w:rsid w:val="00AD4B4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US"/>
    </w:rPr>
  </w:style>
  <w:style w:type="paragraph" w:customStyle="1" w:styleId="xl100">
    <w:name w:val="xl100"/>
    <w:basedOn w:val="Normal"/>
    <w:rsid w:val="00AD4B4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val="en-US"/>
    </w:rPr>
  </w:style>
  <w:style w:type="paragraph" w:customStyle="1" w:styleId="xl101">
    <w:name w:val="xl101"/>
    <w:basedOn w:val="Normal"/>
    <w:rsid w:val="00AD4B4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US"/>
    </w:rPr>
  </w:style>
  <w:style w:type="paragraph" w:customStyle="1" w:styleId="xl102">
    <w:name w:val="xl102"/>
    <w:basedOn w:val="Normal"/>
    <w:rsid w:val="00AD4B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US"/>
    </w:rPr>
  </w:style>
  <w:style w:type="paragraph" w:customStyle="1" w:styleId="xl103">
    <w:name w:val="xl103"/>
    <w:basedOn w:val="Normal"/>
    <w:rsid w:val="00AD4B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US"/>
    </w:rPr>
  </w:style>
  <w:style w:type="paragraph" w:customStyle="1" w:styleId="xl104">
    <w:name w:val="xl104"/>
    <w:basedOn w:val="Normal"/>
    <w:rsid w:val="00AD4B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105">
    <w:name w:val="xl105"/>
    <w:basedOn w:val="Normal"/>
    <w:rsid w:val="00AD4B40"/>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en-US"/>
    </w:rPr>
  </w:style>
  <w:style w:type="paragraph" w:customStyle="1" w:styleId="xl106">
    <w:name w:val="xl106"/>
    <w:basedOn w:val="Normal"/>
    <w:rsid w:val="00AD4B4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val="en-US"/>
    </w:rPr>
  </w:style>
  <w:style w:type="paragraph" w:customStyle="1" w:styleId="xl80">
    <w:name w:val="xl80"/>
    <w:basedOn w:val="Normal"/>
    <w:rsid w:val="00AD4B40"/>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en-IN"/>
    </w:rPr>
  </w:style>
  <w:style w:type="paragraph" w:customStyle="1" w:styleId="xl107">
    <w:name w:val="xl107"/>
    <w:basedOn w:val="Normal"/>
    <w:rsid w:val="00AD4B40"/>
    <w:pPr>
      <w:pBdr>
        <w:bottom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en-IN"/>
    </w:rPr>
  </w:style>
  <w:style w:type="table" w:customStyle="1" w:styleId="TableGrid15">
    <w:name w:val="Table Grid15"/>
    <w:basedOn w:val="TableNormal"/>
    <w:next w:val="TableGrid"/>
    <w:uiPriority w:val="59"/>
    <w:rsid w:val="00AD4B40"/>
    <w:pPr>
      <w:spacing w:after="0" w:line="240" w:lineRule="auto"/>
      <w:ind w:left="851" w:hanging="851"/>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D4B40"/>
    <w:pPr>
      <w:spacing w:after="0" w:line="240" w:lineRule="auto"/>
      <w:ind w:left="851" w:hanging="851"/>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3">
    <w:name w:val="List Table 33"/>
    <w:basedOn w:val="TableNormal"/>
    <w:uiPriority w:val="48"/>
    <w:rsid w:val="00142456"/>
    <w:pPr>
      <w:spacing w:after="0" w:line="240" w:lineRule="auto"/>
    </w:pPr>
    <w:rPr>
      <w:color w:val="404040" w:themeColor="text1" w:themeTint="BF"/>
      <w:sz w:val="20"/>
      <w:szCs w:val="20"/>
      <w:lang w:val="en-US" w:eastAsia="ja-JP"/>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4516">
      <w:bodyDiv w:val="1"/>
      <w:marLeft w:val="0"/>
      <w:marRight w:val="0"/>
      <w:marTop w:val="0"/>
      <w:marBottom w:val="0"/>
      <w:divBdr>
        <w:top w:val="none" w:sz="0" w:space="0" w:color="auto"/>
        <w:left w:val="none" w:sz="0" w:space="0" w:color="auto"/>
        <w:bottom w:val="none" w:sz="0" w:space="0" w:color="auto"/>
        <w:right w:val="none" w:sz="0" w:space="0" w:color="auto"/>
      </w:divBdr>
    </w:div>
    <w:div w:id="45108330">
      <w:bodyDiv w:val="1"/>
      <w:marLeft w:val="0"/>
      <w:marRight w:val="0"/>
      <w:marTop w:val="0"/>
      <w:marBottom w:val="0"/>
      <w:divBdr>
        <w:top w:val="none" w:sz="0" w:space="0" w:color="auto"/>
        <w:left w:val="none" w:sz="0" w:space="0" w:color="auto"/>
        <w:bottom w:val="none" w:sz="0" w:space="0" w:color="auto"/>
        <w:right w:val="none" w:sz="0" w:space="0" w:color="auto"/>
      </w:divBdr>
    </w:div>
    <w:div w:id="52508400">
      <w:bodyDiv w:val="1"/>
      <w:marLeft w:val="0"/>
      <w:marRight w:val="0"/>
      <w:marTop w:val="0"/>
      <w:marBottom w:val="0"/>
      <w:divBdr>
        <w:top w:val="none" w:sz="0" w:space="0" w:color="auto"/>
        <w:left w:val="none" w:sz="0" w:space="0" w:color="auto"/>
        <w:bottom w:val="none" w:sz="0" w:space="0" w:color="auto"/>
        <w:right w:val="none" w:sz="0" w:space="0" w:color="auto"/>
      </w:divBdr>
    </w:div>
    <w:div w:id="60177250">
      <w:bodyDiv w:val="1"/>
      <w:marLeft w:val="0"/>
      <w:marRight w:val="0"/>
      <w:marTop w:val="0"/>
      <w:marBottom w:val="0"/>
      <w:divBdr>
        <w:top w:val="none" w:sz="0" w:space="0" w:color="auto"/>
        <w:left w:val="none" w:sz="0" w:space="0" w:color="auto"/>
        <w:bottom w:val="none" w:sz="0" w:space="0" w:color="auto"/>
        <w:right w:val="none" w:sz="0" w:space="0" w:color="auto"/>
      </w:divBdr>
    </w:div>
    <w:div w:id="76755920">
      <w:bodyDiv w:val="1"/>
      <w:marLeft w:val="0"/>
      <w:marRight w:val="0"/>
      <w:marTop w:val="0"/>
      <w:marBottom w:val="0"/>
      <w:divBdr>
        <w:top w:val="none" w:sz="0" w:space="0" w:color="auto"/>
        <w:left w:val="none" w:sz="0" w:space="0" w:color="auto"/>
        <w:bottom w:val="none" w:sz="0" w:space="0" w:color="auto"/>
        <w:right w:val="none" w:sz="0" w:space="0" w:color="auto"/>
      </w:divBdr>
    </w:div>
    <w:div w:id="82796895">
      <w:bodyDiv w:val="1"/>
      <w:marLeft w:val="0"/>
      <w:marRight w:val="0"/>
      <w:marTop w:val="0"/>
      <w:marBottom w:val="0"/>
      <w:divBdr>
        <w:top w:val="none" w:sz="0" w:space="0" w:color="auto"/>
        <w:left w:val="none" w:sz="0" w:space="0" w:color="auto"/>
        <w:bottom w:val="none" w:sz="0" w:space="0" w:color="auto"/>
        <w:right w:val="none" w:sz="0" w:space="0" w:color="auto"/>
      </w:divBdr>
    </w:div>
    <w:div w:id="118230866">
      <w:bodyDiv w:val="1"/>
      <w:marLeft w:val="0"/>
      <w:marRight w:val="0"/>
      <w:marTop w:val="0"/>
      <w:marBottom w:val="0"/>
      <w:divBdr>
        <w:top w:val="none" w:sz="0" w:space="0" w:color="auto"/>
        <w:left w:val="none" w:sz="0" w:space="0" w:color="auto"/>
        <w:bottom w:val="none" w:sz="0" w:space="0" w:color="auto"/>
        <w:right w:val="none" w:sz="0" w:space="0" w:color="auto"/>
      </w:divBdr>
    </w:div>
    <w:div w:id="122776580">
      <w:bodyDiv w:val="1"/>
      <w:marLeft w:val="0"/>
      <w:marRight w:val="0"/>
      <w:marTop w:val="0"/>
      <w:marBottom w:val="0"/>
      <w:divBdr>
        <w:top w:val="none" w:sz="0" w:space="0" w:color="auto"/>
        <w:left w:val="none" w:sz="0" w:space="0" w:color="auto"/>
        <w:bottom w:val="none" w:sz="0" w:space="0" w:color="auto"/>
        <w:right w:val="none" w:sz="0" w:space="0" w:color="auto"/>
      </w:divBdr>
    </w:div>
    <w:div w:id="127745217">
      <w:bodyDiv w:val="1"/>
      <w:marLeft w:val="0"/>
      <w:marRight w:val="0"/>
      <w:marTop w:val="0"/>
      <w:marBottom w:val="0"/>
      <w:divBdr>
        <w:top w:val="none" w:sz="0" w:space="0" w:color="auto"/>
        <w:left w:val="none" w:sz="0" w:space="0" w:color="auto"/>
        <w:bottom w:val="none" w:sz="0" w:space="0" w:color="auto"/>
        <w:right w:val="none" w:sz="0" w:space="0" w:color="auto"/>
      </w:divBdr>
    </w:div>
    <w:div w:id="134227295">
      <w:bodyDiv w:val="1"/>
      <w:marLeft w:val="0"/>
      <w:marRight w:val="0"/>
      <w:marTop w:val="0"/>
      <w:marBottom w:val="0"/>
      <w:divBdr>
        <w:top w:val="none" w:sz="0" w:space="0" w:color="auto"/>
        <w:left w:val="none" w:sz="0" w:space="0" w:color="auto"/>
        <w:bottom w:val="none" w:sz="0" w:space="0" w:color="auto"/>
        <w:right w:val="none" w:sz="0" w:space="0" w:color="auto"/>
      </w:divBdr>
    </w:div>
    <w:div w:id="154497711">
      <w:bodyDiv w:val="1"/>
      <w:marLeft w:val="0"/>
      <w:marRight w:val="0"/>
      <w:marTop w:val="0"/>
      <w:marBottom w:val="0"/>
      <w:divBdr>
        <w:top w:val="none" w:sz="0" w:space="0" w:color="auto"/>
        <w:left w:val="none" w:sz="0" w:space="0" w:color="auto"/>
        <w:bottom w:val="none" w:sz="0" w:space="0" w:color="auto"/>
        <w:right w:val="none" w:sz="0" w:space="0" w:color="auto"/>
      </w:divBdr>
    </w:div>
    <w:div w:id="160464642">
      <w:bodyDiv w:val="1"/>
      <w:marLeft w:val="0"/>
      <w:marRight w:val="0"/>
      <w:marTop w:val="0"/>
      <w:marBottom w:val="0"/>
      <w:divBdr>
        <w:top w:val="none" w:sz="0" w:space="0" w:color="auto"/>
        <w:left w:val="none" w:sz="0" w:space="0" w:color="auto"/>
        <w:bottom w:val="none" w:sz="0" w:space="0" w:color="auto"/>
        <w:right w:val="none" w:sz="0" w:space="0" w:color="auto"/>
      </w:divBdr>
    </w:div>
    <w:div w:id="165942225">
      <w:bodyDiv w:val="1"/>
      <w:marLeft w:val="0"/>
      <w:marRight w:val="0"/>
      <w:marTop w:val="0"/>
      <w:marBottom w:val="0"/>
      <w:divBdr>
        <w:top w:val="none" w:sz="0" w:space="0" w:color="auto"/>
        <w:left w:val="none" w:sz="0" w:space="0" w:color="auto"/>
        <w:bottom w:val="none" w:sz="0" w:space="0" w:color="auto"/>
        <w:right w:val="none" w:sz="0" w:space="0" w:color="auto"/>
      </w:divBdr>
    </w:div>
    <w:div w:id="178551103">
      <w:bodyDiv w:val="1"/>
      <w:marLeft w:val="0"/>
      <w:marRight w:val="0"/>
      <w:marTop w:val="0"/>
      <w:marBottom w:val="0"/>
      <w:divBdr>
        <w:top w:val="none" w:sz="0" w:space="0" w:color="auto"/>
        <w:left w:val="none" w:sz="0" w:space="0" w:color="auto"/>
        <w:bottom w:val="none" w:sz="0" w:space="0" w:color="auto"/>
        <w:right w:val="none" w:sz="0" w:space="0" w:color="auto"/>
      </w:divBdr>
    </w:div>
    <w:div w:id="189152293">
      <w:bodyDiv w:val="1"/>
      <w:marLeft w:val="0"/>
      <w:marRight w:val="0"/>
      <w:marTop w:val="0"/>
      <w:marBottom w:val="0"/>
      <w:divBdr>
        <w:top w:val="none" w:sz="0" w:space="0" w:color="auto"/>
        <w:left w:val="none" w:sz="0" w:space="0" w:color="auto"/>
        <w:bottom w:val="none" w:sz="0" w:space="0" w:color="auto"/>
        <w:right w:val="none" w:sz="0" w:space="0" w:color="auto"/>
      </w:divBdr>
    </w:div>
    <w:div w:id="192311983">
      <w:bodyDiv w:val="1"/>
      <w:marLeft w:val="0"/>
      <w:marRight w:val="0"/>
      <w:marTop w:val="0"/>
      <w:marBottom w:val="0"/>
      <w:divBdr>
        <w:top w:val="none" w:sz="0" w:space="0" w:color="auto"/>
        <w:left w:val="none" w:sz="0" w:space="0" w:color="auto"/>
        <w:bottom w:val="none" w:sz="0" w:space="0" w:color="auto"/>
        <w:right w:val="none" w:sz="0" w:space="0" w:color="auto"/>
      </w:divBdr>
    </w:div>
    <w:div w:id="200174501">
      <w:bodyDiv w:val="1"/>
      <w:marLeft w:val="0"/>
      <w:marRight w:val="0"/>
      <w:marTop w:val="0"/>
      <w:marBottom w:val="0"/>
      <w:divBdr>
        <w:top w:val="none" w:sz="0" w:space="0" w:color="auto"/>
        <w:left w:val="none" w:sz="0" w:space="0" w:color="auto"/>
        <w:bottom w:val="none" w:sz="0" w:space="0" w:color="auto"/>
        <w:right w:val="none" w:sz="0" w:space="0" w:color="auto"/>
      </w:divBdr>
    </w:div>
    <w:div w:id="214389082">
      <w:bodyDiv w:val="1"/>
      <w:marLeft w:val="0"/>
      <w:marRight w:val="0"/>
      <w:marTop w:val="0"/>
      <w:marBottom w:val="0"/>
      <w:divBdr>
        <w:top w:val="none" w:sz="0" w:space="0" w:color="auto"/>
        <w:left w:val="none" w:sz="0" w:space="0" w:color="auto"/>
        <w:bottom w:val="none" w:sz="0" w:space="0" w:color="auto"/>
        <w:right w:val="none" w:sz="0" w:space="0" w:color="auto"/>
      </w:divBdr>
    </w:div>
    <w:div w:id="239871285">
      <w:bodyDiv w:val="1"/>
      <w:marLeft w:val="0"/>
      <w:marRight w:val="0"/>
      <w:marTop w:val="0"/>
      <w:marBottom w:val="0"/>
      <w:divBdr>
        <w:top w:val="none" w:sz="0" w:space="0" w:color="auto"/>
        <w:left w:val="none" w:sz="0" w:space="0" w:color="auto"/>
        <w:bottom w:val="none" w:sz="0" w:space="0" w:color="auto"/>
        <w:right w:val="none" w:sz="0" w:space="0" w:color="auto"/>
      </w:divBdr>
    </w:div>
    <w:div w:id="251747260">
      <w:bodyDiv w:val="1"/>
      <w:marLeft w:val="0"/>
      <w:marRight w:val="0"/>
      <w:marTop w:val="0"/>
      <w:marBottom w:val="0"/>
      <w:divBdr>
        <w:top w:val="none" w:sz="0" w:space="0" w:color="auto"/>
        <w:left w:val="none" w:sz="0" w:space="0" w:color="auto"/>
        <w:bottom w:val="none" w:sz="0" w:space="0" w:color="auto"/>
        <w:right w:val="none" w:sz="0" w:space="0" w:color="auto"/>
      </w:divBdr>
    </w:div>
    <w:div w:id="260376277">
      <w:bodyDiv w:val="1"/>
      <w:marLeft w:val="0"/>
      <w:marRight w:val="0"/>
      <w:marTop w:val="0"/>
      <w:marBottom w:val="0"/>
      <w:divBdr>
        <w:top w:val="none" w:sz="0" w:space="0" w:color="auto"/>
        <w:left w:val="none" w:sz="0" w:space="0" w:color="auto"/>
        <w:bottom w:val="none" w:sz="0" w:space="0" w:color="auto"/>
        <w:right w:val="none" w:sz="0" w:space="0" w:color="auto"/>
      </w:divBdr>
    </w:div>
    <w:div w:id="271666155">
      <w:bodyDiv w:val="1"/>
      <w:marLeft w:val="0"/>
      <w:marRight w:val="0"/>
      <w:marTop w:val="0"/>
      <w:marBottom w:val="0"/>
      <w:divBdr>
        <w:top w:val="none" w:sz="0" w:space="0" w:color="auto"/>
        <w:left w:val="none" w:sz="0" w:space="0" w:color="auto"/>
        <w:bottom w:val="none" w:sz="0" w:space="0" w:color="auto"/>
        <w:right w:val="none" w:sz="0" w:space="0" w:color="auto"/>
      </w:divBdr>
    </w:div>
    <w:div w:id="278219337">
      <w:bodyDiv w:val="1"/>
      <w:marLeft w:val="0"/>
      <w:marRight w:val="0"/>
      <w:marTop w:val="0"/>
      <w:marBottom w:val="0"/>
      <w:divBdr>
        <w:top w:val="none" w:sz="0" w:space="0" w:color="auto"/>
        <w:left w:val="none" w:sz="0" w:space="0" w:color="auto"/>
        <w:bottom w:val="none" w:sz="0" w:space="0" w:color="auto"/>
        <w:right w:val="none" w:sz="0" w:space="0" w:color="auto"/>
      </w:divBdr>
    </w:div>
    <w:div w:id="292256091">
      <w:bodyDiv w:val="1"/>
      <w:marLeft w:val="0"/>
      <w:marRight w:val="0"/>
      <w:marTop w:val="0"/>
      <w:marBottom w:val="0"/>
      <w:divBdr>
        <w:top w:val="none" w:sz="0" w:space="0" w:color="auto"/>
        <w:left w:val="none" w:sz="0" w:space="0" w:color="auto"/>
        <w:bottom w:val="none" w:sz="0" w:space="0" w:color="auto"/>
        <w:right w:val="none" w:sz="0" w:space="0" w:color="auto"/>
      </w:divBdr>
    </w:div>
    <w:div w:id="293369739">
      <w:bodyDiv w:val="1"/>
      <w:marLeft w:val="0"/>
      <w:marRight w:val="0"/>
      <w:marTop w:val="0"/>
      <w:marBottom w:val="0"/>
      <w:divBdr>
        <w:top w:val="none" w:sz="0" w:space="0" w:color="auto"/>
        <w:left w:val="none" w:sz="0" w:space="0" w:color="auto"/>
        <w:bottom w:val="none" w:sz="0" w:space="0" w:color="auto"/>
        <w:right w:val="none" w:sz="0" w:space="0" w:color="auto"/>
      </w:divBdr>
    </w:div>
    <w:div w:id="300693222">
      <w:bodyDiv w:val="1"/>
      <w:marLeft w:val="0"/>
      <w:marRight w:val="0"/>
      <w:marTop w:val="0"/>
      <w:marBottom w:val="0"/>
      <w:divBdr>
        <w:top w:val="none" w:sz="0" w:space="0" w:color="auto"/>
        <w:left w:val="none" w:sz="0" w:space="0" w:color="auto"/>
        <w:bottom w:val="none" w:sz="0" w:space="0" w:color="auto"/>
        <w:right w:val="none" w:sz="0" w:space="0" w:color="auto"/>
      </w:divBdr>
    </w:div>
    <w:div w:id="313876480">
      <w:bodyDiv w:val="1"/>
      <w:marLeft w:val="0"/>
      <w:marRight w:val="0"/>
      <w:marTop w:val="0"/>
      <w:marBottom w:val="0"/>
      <w:divBdr>
        <w:top w:val="none" w:sz="0" w:space="0" w:color="auto"/>
        <w:left w:val="none" w:sz="0" w:space="0" w:color="auto"/>
        <w:bottom w:val="none" w:sz="0" w:space="0" w:color="auto"/>
        <w:right w:val="none" w:sz="0" w:space="0" w:color="auto"/>
      </w:divBdr>
    </w:div>
    <w:div w:id="315694943">
      <w:bodyDiv w:val="1"/>
      <w:marLeft w:val="0"/>
      <w:marRight w:val="0"/>
      <w:marTop w:val="0"/>
      <w:marBottom w:val="0"/>
      <w:divBdr>
        <w:top w:val="none" w:sz="0" w:space="0" w:color="auto"/>
        <w:left w:val="none" w:sz="0" w:space="0" w:color="auto"/>
        <w:bottom w:val="none" w:sz="0" w:space="0" w:color="auto"/>
        <w:right w:val="none" w:sz="0" w:space="0" w:color="auto"/>
      </w:divBdr>
    </w:div>
    <w:div w:id="371541061">
      <w:bodyDiv w:val="1"/>
      <w:marLeft w:val="0"/>
      <w:marRight w:val="0"/>
      <w:marTop w:val="0"/>
      <w:marBottom w:val="0"/>
      <w:divBdr>
        <w:top w:val="none" w:sz="0" w:space="0" w:color="auto"/>
        <w:left w:val="none" w:sz="0" w:space="0" w:color="auto"/>
        <w:bottom w:val="none" w:sz="0" w:space="0" w:color="auto"/>
        <w:right w:val="none" w:sz="0" w:space="0" w:color="auto"/>
      </w:divBdr>
    </w:div>
    <w:div w:id="404766749">
      <w:bodyDiv w:val="1"/>
      <w:marLeft w:val="0"/>
      <w:marRight w:val="0"/>
      <w:marTop w:val="0"/>
      <w:marBottom w:val="0"/>
      <w:divBdr>
        <w:top w:val="none" w:sz="0" w:space="0" w:color="auto"/>
        <w:left w:val="none" w:sz="0" w:space="0" w:color="auto"/>
        <w:bottom w:val="none" w:sz="0" w:space="0" w:color="auto"/>
        <w:right w:val="none" w:sz="0" w:space="0" w:color="auto"/>
      </w:divBdr>
    </w:div>
    <w:div w:id="404913548">
      <w:bodyDiv w:val="1"/>
      <w:marLeft w:val="0"/>
      <w:marRight w:val="0"/>
      <w:marTop w:val="0"/>
      <w:marBottom w:val="0"/>
      <w:divBdr>
        <w:top w:val="none" w:sz="0" w:space="0" w:color="auto"/>
        <w:left w:val="none" w:sz="0" w:space="0" w:color="auto"/>
        <w:bottom w:val="none" w:sz="0" w:space="0" w:color="auto"/>
        <w:right w:val="none" w:sz="0" w:space="0" w:color="auto"/>
      </w:divBdr>
    </w:div>
    <w:div w:id="407197041">
      <w:bodyDiv w:val="1"/>
      <w:marLeft w:val="0"/>
      <w:marRight w:val="0"/>
      <w:marTop w:val="0"/>
      <w:marBottom w:val="0"/>
      <w:divBdr>
        <w:top w:val="none" w:sz="0" w:space="0" w:color="auto"/>
        <w:left w:val="none" w:sz="0" w:space="0" w:color="auto"/>
        <w:bottom w:val="none" w:sz="0" w:space="0" w:color="auto"/>
        <w:right w:val="none" w:sz="0" w:space="0" w:color="auto"/>
      </w:divBdr>
    </w:div>
    <w:div w:id="426385118">
      <w:bodyDiv w:val="1"/>
      <w:marLeft w:val="0"/>
      <w:marRight w:val="0"/>
      <w:marTop w:val="0"/>
      <w:marBottom w:val="0"/>
      <w:divBdr>
        <w:top w:val="none" w:sz="0" w:space="0" w:color="auto"/>
        <w:left w:val="none" w:sz="0" w:space="0" w:color="auto"/>
        <w:bottom w:val="none" w:sz="0" w:space="0" w:color="auto"/>
        <w:right w:val="none" w:sz="0" w:space="0" w:color="auto"/>
      </w:divBdr>
    </w:div>
    <w:div w:id="449474037">
      <w:bodyDiv w:val="1"/>
      <w:marLeft w:val="0"/>
      <w:marRight w:val="0"/>
      <w:marTop w:val="0"/>
      <w:marBottom w:val="0"/>
      <w:divBdr>
        <w:top w:val="none" w:sz="0" w:space="0" w:color="auto"/>
        <w:left w:val="none" w:sz="0" w:space="0" w:color="auto"/>
        <w:bottom w:val="none" w:sz="0" w:space="0" w:color="auto"/>
        <w:right w:val="none" w:sz="0" w:space="0" w:color="auto"/>
      </w:divBdr>
    </w:div>
    <w:div w:id="451484019">
      <w:bodyDiv w:val="1"/>
      <w:marLeft w:val="0"/>
      <w:marRight w:val="0"/>
      <w:marTop w:val="0"/>
      <w:marBottom w:val="0"/>
      <w:divBdr>
        <w:top w:val="none" w:sz="0" w:space="0" w:color="auto"/>
        <w:left w:val="none" w:sz="0" w:space="0" w:color="auto"/>
        <w:bottom w:val="none" w:sz="0" w:space="0" w:color="auto"/>
        <w:right w:val="none" w:sz="0" w:space="0" w:color="auto"/>
      </w:divBdr>
    </w:div>
    <w:div w:id="453136835">
      <w:bodyDiv w:val="1"/>
      <w:marLeft w:val="0"/>
      <w:marRight w:val="0"/>
      <w:marTop w:val="0"/>
      <w:marBottom w:val="0"/>
      <w:divBdr>
        <w:top w:val="none" w:sz="0" w:space="0" w:color="auto"/>
        <w:left w:val="none" w:sz="0" w:space="0" w:color="auto"/>
        <w:bottom w:val="none" w:sz="0" w:space="0" w:color="auto"/>
        <w:right w:val="none" w:sz="0" w:space="0" w:color="auto"/>
      </w:divBdr>
    </w:div>
    <w:div w:id="462695395">
      <w:bodyDiv w:val="1"/>
      <w:marLeft w:val="0"/>
      <w:marRight w:val="0"/>
      <w:marTop w:val="0"/>
      <w:marBottom w:val="0"/>
      <w:divBdr>
        <w:top w:val="none" w:sz="0" w:space="0" w:color="auto"/>
        <w:left w:val="none" w:sz="0" w:space="0" w:color="auto"/>
        <w:bottom w:val="none" w:sz="0" w:space="0" w:color="auto"/>
        <w:right w:val="none" w:sz="0" w:space="0" w:color="auto"/>
      </w:divBdr>
    </w:div>
    <w:div w:id="483817875">
      <w:bodyDiv w:val="1"/>
      <w:marLeft w:val="0"/>
      <w:marRight w:val="0"/>
      <w:marTop w:val="0"/>
      <w:marBottom w:val="0"/>
      <w:divBdr>
        <w:top w:val="none" w:sz="0" w:space="0" w:color="auto"/>
        <w:left w:val="none" w:sz="0" w:space="0" w:color="auto"/>
        <w:bottom w:val="none" w:sz="0" w:space="0" w:color="auto"/>
        <w:right w:val="none" w:sz="0" w:space="0" w:color="auto"/>
      </w:divBdr>
    </w:div>
    <w:div w:id="506291621">
      <w:bodyDiv w:val="1"/>
      <w:marLeft w:val="0"/>
      <w:marRight w:val="0"/>
      <w:marTop w:val="0"/>
      <w:marBottom w:val="0"/>
      <w:divBdr>
        <w:top w:val="none" w:sz="0" w:space="0" w:color="auto"/>
        <w:left w:val="none" w:sz="0" w:space="0" w:color="auto"/>
        <w:bottom w:val="none" w:sz="0" w:space="0" w:color="auto"/>
        <w:right w:val="none" w:sz="0" w:space="0" w:color="auto"/>
      </w:divBdr>
    </w:div>
    <w:div w:id="507258579">
      <w:bodyDiv w:val="1"/>
      <w:marLeft w:val="0"/>
      <w:marRight w:val="0"/>
      <w:marTop w:val="0"/>
      <w:marBottom w:val="0"/>
      <w:divBdr>
        <w:top w:val="none" w:sz="0" w:space="0" w:color="auto"/>
        <w:left w:val="none" w:sz="0" w:space="0" w:color="auto"/>
        <w:bottom w:val="none" w:sz="0" w:space="0" w:color="auto"/>
        <w:right w:val="none" w:sz="0" w:space="0" w:color="auto"/>
      </w:divBdr>
    </w:div>
    <w:div w:id="520357999">
      <w:bodyDiv w:val="1"/>
      <w:marLeft w:val="0"/>
      <w:marRight w:val="0"/>
      <w:marTop w:val="0"/>
      <w:marBottom w:val="0"/>
      <w:divBdr>
        <w:top w:val="none" w:sz="0" w:space="0" w:color="auto"/>
        <w:left w:val="none" w:sz="0" w:space="0" w:color="auto"/>
        <w:bottom w:val="none" w:sz="0" w:space="0" w:color="auto"/>
        <w:right w:val="none" w:sz="0" w:space="0" w:color="auto"/>
      </w:divBdr>
    </w:div>
    <w:div w:id="540555851">
      <w:bodyDiv w:val="1"/>
      <w:marLeft w:val="0"/>
      <w:marRight w:val="0"/>
      <w:marTop w:val="0"/>
      <w:marBottom w:val="0"/>
      <w:divBdr>
        <w:top w:val="none" w:sz="0" w:space="0" w:color="auto"/>
        <w:left w:val="none" w:sz="0" w:space="0" w:color="auto"/>
        <w:bottom w:val="none" w:sz="0" w:space="0" w:color="auto"/>
        <w:right w:val="none" w:sz="0" w:space="0" w:color="auto"/>
      </w:divBdr>
    </w:div>
    <w:div w:id="561600303">
      <w:bodyDiv w:val="1"/>
      <w:marLeft w:val="0"/>
      <w:marRight w:val="0"/>
      <w:marTop w:val="0"/>
      <w:marBottom w:val="0"/>
      <w:divBdr>
        <w:top w:val="none" w:sz="0" w:space="0" w:color="auto"/>
        <w:left w:val="none" w:sz="0" w:space="0" w:color="auto"/>
        <w:bottom w:val="none" w:sz="0" w:space="0" w:color="auto"/>
        <w:right w:val="none" w:sz="0" w:space="0" w:color="auto"/>
      </w:divBdr>
    </w:div>
    <w:div w:id="602305798">
      <w:bodyDiv w:val="1"/>
      <w:marLeft w:val="0"/>
      <w:marRight w:val="0"/>
      <w:marTop w:val="0"/>
      <w:marBottom w:val="0"/>
      <w:divBdr>
        <w:top w:val="none" w:sz="0" w:space="0" w:color="auto"/>
        <w:left w:val="none" w:sz="0" w:space="0" w:color="auto"/>
        <w:bottom w:val="none" w:sz="0" w:space="0" w:color="auto"/>
        <w:right w:val="none" w:sz="0" w:space="0" w:color="auto"/>
      </w:divBdr>
    </w:div>
    <w:div w:id="613248335">
      <w:bodyDiv w:val="1"/>
      <w:marLeft w:val="0"/>
      <w:marRight w:val="0"/>
      <w:marTop w:val="0"/>
      <w:marBottom w:val="0"/>
      <w:divBdr>
        <w:top w:val="none" w:sz="0" w:space="0" w:color="auto"/>
        <w:left w:val="none" w:sz="0" w:space="0" w:color="auto"/>
        <w:bottom w:val="none" w:sz="0" w:space="0" w:color="auto"/>
        <w:right w:val="none" w:sz="0" w:space="0" w:color="auto"/>
      </w:divBdr>
    </w:div>
    <w:div w:id="620889197">
      <w:bodyDiv w:val="1"/>
      <w:marLeft w:val="0"/>
      <w:marRight w:val="0"/>
      <w:marTop w:val="0"/>
      <w:marBottom w:val="0"/>
      <w:divBdr>
        <w:top w:val="none" w:sz="0" w:space="0" w:color="auto"/>
        <w:left w:val="none" w:sz="0" w:space="0" w:color="auto"/>
        <w:bottom w:val="none" w:sz="0" w:space="0" w:color="auto"/>
        <w:right w:val="none" w:sz="0" w:space="0" w:color="auto"/>
      </w:divBdr>
    </w:div>
    <w:div w:id="627008773">
      <w:bodyDiv w:val="1"/>
      <w:marLeft w:val="0"/>
      <w:marRight w:val="0"/>
      <w:marTop w:val="0"/>
      <w:marBottom w:val="0"/>
      <w:divBdr>
        <w:top w:val="none" w:sz="0" w:space="0" w:color="auto"/>
        <w:left w:val="none" w:sz="0" w:space="0" w:color="auto"/>
        <w:bottom w:val="none" w:sz="0" w:space="0" w:color="auto"/>
        <w:right w:val="none" w:sz="0" w:space="0" w:color="auto"/>
      </w:divBdr>
    </w:div>
    <w:div w:id="653486493">
      <w:bodyDiv w:val="1"/>
      <w:marLeft w:val="0"/>
      <w:marRight w:val="0"/>
      <w:marTop w:val="0"/>
      <w:marBottom w:val="0"/>
      <w:divBdr>
        <w:top w:val="none" w:sz="0" w:space="0" w:color="auto"/>
        <w:left w:val="none" w:sz="0" w:space="0" w:color="auto"/>
        <w:bottom w:val="none" w:sz="0" w:space="0" w:color="auto"/>
        <w:right w:val="none" w:sz="0" w:space="0" w:color="auto"/>
      </w:divBdr>
    </w:div>
    <w:div w:id="657265992">
      <w:bodyDiv w:val="1"/>
      <w:marLeft w:val="0"/>
      <w:marRight w:val="0"/>
      <w:marTop w:val="0"/>
      <w:marBottom w:val="0"/>
      <w:divBdr>
        <w:top w:val="none" w:sz="0" w:space="0" w:color="auto"/>
        <w:left w:val="none" w:sz="0" w:space="0" w:color="auto"/>
        <w:bottom w:val="none" w:sz="0" w:space="0" w:color="auto"/>
        <w:right w:val="none" w:sz="0" w:space="0" w:color="auto"/>
      </w:divBdr>
    </w:div>
    <w:div w:id="662508915">
      <w:bodyDiv w:val="1"/>
      <w:marLeft w:val="0"/>
      <w:marRight w:val="0"/>
      <w:marTop w:val="0"/>
      <w:marBottom w:val="0"/>
      <w:divBdr>
        <w:top w:val="none" w:sz="0" w:space="0" w:color="auto"/>
        <w:left w:val="none" w:sz="0" w:space="0" w:color="auto"/>
        <w:bottom w:val="none" w:sz="0" w:space="0" w:color="auto"/>
        <w:right w:val="none" w:sz="0" w:space="0" w:color="auto"/>
      </w:divBdr>
    </w:div>
    <w:div w:id="673336174">
      <w:bodyDiv w:val="1"/>
      <w:marLeft w:val="0"/>
      <w:marRight w:val="0"/>
      <w:marTop w:val="0"/>
      <w:marBottom w:val="0"/>
      <w:divBdr>
        <w:top w:val="none" w:sz="0" w:space="0" w:color="auto"/>
        <w:left w:val="none" w:sz="0" w:space="0" w:color="auto"/>
        <w:bottom w:val="none" w:sz="0" w:space="0" w:color="auto"/>
        <w:right w:val="none" w:sz="0" w:space="0" w:color="auto"/>
      </w:divBdr>
    </w:div>
    <w:div w:id="683557695">
      <w:bodyDiv w:val="1"/>
      <w:marLeft w:val="0"/>
      <w:marRight w:val="0"/>
      <w:marTop w:val="0"/>
      <w:marBottom w:val="0"/>
      <w:divBdr>
        <w:top w:val="none" w:sz="0" w:space="0" w:color="auto"/>
        <w:left w:val="none" w:sz="0" w:space="0" w:color="auto"/>
        <w:bottom w:val="none" w:sz="0" w:space="0" w:color="auto"/>
        <w:right w:val="none" w:sz="0" w:space="0" w:color="auto"/>
      </w:divBdr>
    </w:div>
    <w:div w:id="688064109">
      <w:bodyDiv w:val="1"/>
      <w:marLeft w:val="0"/>
      <w:marRight w:val="0"/>
      <w:marTop w:val="0"/>
      <w:marBottom w:val="0"/>
      <w:divBdr>
        <w:top w:val="none" w:sz="0" w:space="0" w:color="auto"/>
        <w:left w:val="none" w:sz="0" w:space="0" w:color="auto"/>
        <w:bottom w:val="none" w:sz="0" w:space="0" w:color="auto"/>
        <w:right w:val="none" w:sz="0" w:space="0" w:color="auto"/>
      </w:divBdr>
    </w:div>
    <w:div w:id="717629347">
      <w:bodyDiv w:val="1"/>
      <w:marLeft w:val="0"/>
      <w:marRight w:val="0"/>
      <w:marTop w:val="0"/>
      <w:marBottom w:val="0"/>
      <w:divBdr>
        <w:top w:val="none" w:sz="0" w:space="0" w:color="auto"/>
        <w:left w:val="none" w:sz="0" w:space="0" w:color="auto"/>
        <w:bottom w:val="none" w:sz="0" w:space="0" w:color="auto"/>
        <w:right w:val="none" w:sz="0" w:space="0" w:color="auto"/>
      </w:divBdr>
    </w:div>
    <w:div w:id="740565337">
      <w:bodyDiv w:val="1"/>
      <w:marLeft w:val="0"/>
      <w:marRight w:val="0"/>
      <w:marTop w:val="0"/>
      <w:marBottom w:val="0"/>
      <w:divBdr>
        <w:top w:val="none" w:sz="0" w:space="0" w:color="auto"/>
        <w:left w:val="none" w:sz="0" w:space="0" w:color="auto"/>
        <w:bottom w:val="none" w:sz="0" w:space="0" w:color="auto"/>
        <w:right w:val="none" w:sz="0" w:space="0" w:color="auto"/>
      </w:divBdr>
    </w:div>
    <w:div w:id="752508280">
      <w:bodyDiv w:val="1"/>
      <w:marLeft w:val="0"/>
      <w:marRight w:val="0"/>
      <w:marTop w:val="0"/>
      <w:marBottom w:val="0"/>
      <w:divBdr>
        <w:top w:val="none" w:sz="0" w:space="0" w:color="auto"/>
        <w:left w:val="none" w:sz="0" w:space="0" w:color="auto"/>
        <w:bottom w:val="none" w:sz="0" w:space="0" w:color="auto"/>
        <w:right w:val="none" w:sz="0" w:space="0" w:color="auto"/>
      </w:divBdr>
    </w:div>
    <w:div w:id="756052925">
      <w:bodyDiv w:val="1"/>
      <w:marLeft w:val="0"/>
      <w:marRight w:val="0"/>
      <w:marTop w:val="0"/>
      <w:marBottom w:val="0"/>
      <w:divBdr>
        <w:top w:val="none" w:sz="0" w:space="0" w:color="auto"/>
        <w:left w:val="none" w:sz="0" w:space="0" w:color="auto"/>
        <w:bottom w:val="none" w:sz="0" w:space="0" w:color="auto"/>
        <w:right w:val="none" w:sz="0" w:space="0" w:color="auto"/>
      </w:divBdr>
    </w:div>
    <w:div w:id="763301115">
      <w:bodyDiv w:val="1"/>
      <w:marLeft w:val="0"/>
      <w:marRight w:val="0"/>
      <w:marTop w:val="0"/>
      <w:marBottom w:val="0"/>
      <w:divBdr>
        <w:top w:val="none" w:sz="0" w:space="0" w:color="auto"/>
        <w:left w:val="none" w:sz="0" w:space="0" w:color="auto"/>
        <w:bottom w:val="none" w:sz="0" w:space="0" w:color="auto"/>
        <w:right w:val="none" w:sz="0" w:space="0" w:color="auto"/>
      </w:divBdr>
    </w:div>
    <w:div w:id="780993414">
      <w:bodyDiv w:val="1"/>
      <w:marLeft w:val="0"/>
      <w:marRight w:val="0"/>
      <w:marTop w:val="0"/>
      <w:marBottom w:val="0"/>
      <w:divBdr>
        <w:top w:val="none" w:sz="0" w:space="0" w:color="auto"/>
        <w:left w:val="none" w:sz="0" w:space="0" w:color="auto"/>
        <w:bottom w:val="none" w:sz="0" w:space="0" w:color="auto"/>
        <w:right w:val="none" w:sz="0" w:space="0" w:color="auto"/>
      </w:divBdr>
    </w:div>
    <w:div w:id="790511866">
      <w:bodyDiv w:val="1"/>
      <w:marLeft w:val="0"/>
      <w:marRight w:val="0"/>
      <w:marTop w:val="0"/>
      <w:marBottom w:val="0"/>
      <w:divBdr>
        <w:top w:val="none" w:sz="0" w:space="0" w:color="auto"/>
        <w:left w:val="none" w:sz="0" w:space="0" w:color="auto"/>
        <w:bottom w:val="none" w:sz="0" w:space="0" w:color="auto"/>
        <w:right w:val="none" w:sz="0" w:space="0" w:color="auto"/>
      </w:divBdr>
    </w:div>
    <w:div w:id="799029980">
      <w:bodyDiv w:val="1"/>
      <w:marLeft w:val="0"/>
      <w:marRight w:val="0"/>
      <w:marTop w:val="0"/>
      <w:marBottom w:val="0"/>
      <w:divBdr>
        <w:top w:val="none" w:sz="0" w:space="0" w:color="auto"/>
        <w:left w:val="none" w:sz="0" w:space="0" w:color="auto"/>
        <w:bottom w:val="none" w:sz="0" w:space="0" w:color="auto"/>
        <w:right w:val="none" w:sz="0" w:space="0" w:color="auto"/>
      </w:divBdr>
    </w:div>
    <w:div w:id="826022645">
      <w:bodyDiv w:val="1"/>
      <w:marLeft w:val="0"/>
      <w:marRight w:val="0"/>
      <w:marTop w:val="0"/>
      <w:marBottom w:val="0"/>
      <w:divBdr>
        <w:top w:val="none" w:sz="0" w:space="0" w:color="auto"/>
        <w:left w:val="none" w:sz="0" w:space="0" w:color="auto"/>
        <w:bottom w:val="none" w:sz="0" w:space="0" w:color="auto"/>
        <w:right w:val="none" w:sz="0" w:space="0" w:color="auto"/>
      </w:divBdr>
    </w:div>
    <w:div w:id="828331178">
      <w:bodyDiv w:val="1"/>
      <w:marLeft w:val="0"/>
      <w:marRight w:val="0"/>
      <w:marTop w:val="0"/>
      <w:marBottom w:val="0"/>
      <w:divBdr>
        <w:top w:val="none" w:sz="0" w:space="0" w:color="auto"/>
        <w:left w:val="none" w:sz="0" w:space="0" w:color="auto"/>
        <w:bottom w:val="none" w:sz="0" w:space="0" w:color="auto"/>
        <w:right w:val="none" w:sz="0" w:space="0" w:color="auto"/>
      </w:divBdr>
    </w:div>
    <w:div w:id="852034044">
      <w:bodyDiv w:val="1"/>
      <w:marLeft w:val="0"/>
      <w:marRight w:val="0"/>
      <w:marTop w:val="0"/>
      <w:marBottom w:val="0"/>
      <w:divBdr>
        <w:top w:val="none" w:sz="0" w:space="0" w:color="auto"/>
        <w:left w:val="none" w:sz="0" w:space="0" w:color="auto"/>
        <w:bottom w:val="none" w:sz="0" w:space="0" w:color="auto"/>
        <w:right w:val="none" w:sz="0" w:space="0" w:color="auto"/>
      </w:divBdr>
    </w:div>
    <w:div w:id="882325546">
      <w:bodyDiv w:val="1"/>
      <w:marLeft w:val="0"/>
      <w:marRight w:val="0"/>
      <w:marTop w:val="0"/>
      <w:marBottom w:val="0"/>
      <w:divBdr>
        <w:top w:val="none" w:sz="0" w:space="0" w:color="auto"/>
        <w:left w:val="none" w:sz="0" w:space="0" w:color="auto"/>
        <w:bottom w:val="none" w:sz="0" w:space="0" w:color="auto"/>
        <w:right w:val="none" w:sz="0" w:space="0" w:color="auto"/>
      </w:divBdr>
    </w:div>
    <w:div w:id="892741918">
      <w:bodyDiv w:val="1"/>
      <w:marLeft w:val="0"/>
      <w:marRight w:val="0"/>
      <w:marTop w:val="0"/>
      <w:marBottom w:val="0"/>
      <w:divBdr>
        <w:top w:val="none" w:sz="0" w:space="0" w:color="auto"/>
        <w:left w:val="none" w:sz="0" w:space="0" w:color="auto"/>
        <w:bottom w:val="none" w:sz="0" w:space="0" w:color="auto"/>
        <w:right w:val="none" w:sz="0" w:space="0" w:color="auto"/>
      </w:divBdr>
    </w:div>
    <w:div w:id="900142215">
      <w:bodyDiv w:val="1"/>
      <w:marLeft w:val="0"/>
      <w:marRight w:val="0"/>
      <w:marTop w:val="0"/>
      <w:marBottom w:val="0"/>
      <w:divBdr>
        <w:top w:val="none" w:sz="0" w:space="0" w:color="auto"/>
        <w:left w:val="none" w:sz="0" w:space="0" w:color="auto"/>
        <w:bottom w:val="none" w:sz="0" w:space="0" w:color="auto"/>
        <w:right w:val="none" w:sz="0" w:space="0" w:color="auto"/>
      </w:divBdr>
    </w:div>
    <w:div w:id="906451383">
      <w:bodyDiv w:val="1"/>
      <w:marLeft w:val="0"/>
      <w:marRight w:val="0"/>
      <w:marTop w:val="0"/>
      <w:marBottom w:val="0"/>
      <w:divBdr>
        <w:top w:val="none" w:sz="0" w:space="0" w:color="auto"/>
        <w:left w:val="none" w:sz="0" w:space="0" w:color="auto"/>
        <w:bottom w:val="none" w:sz="0" w:space="0" w:color="auto"/>
        <w:right w:val="none" w:sz="0" w:space="0" w:color="auto"/>
      </w:divBdr>
    </w:div>
    <w:div w:id="913123661">
      <w:bodyDiv w:val="1"/>
      <w:marLeft w:val="0"/>
      <w:marRight w:val="0"/>
      <w:marTop w:val="0"/>
      <w:marBottom w:val="0"/>
      <w:divBdr>
        <w:top w:val="none" w:sz="0" w:space="0" w:color="auto"/>
        <w:left w:val="none" w:sz="0" w:space="0" w:color="auto"/>
        <w:bottom w:val="none" w:sz="0" w:space="0" w:color="auto"/>
        <w:right w:val="none" w:sz="0" w:space="0" w:color="auto"/>
      </w:divBdr>
    </w:div>
    <w:div w:id="938875328">
      <w:bodyDiv w:val="1"/>
      <w:marLeft w:val="0"/>
      <w:marRight w:val="0"/>
      <w:marTop w:val="0"/>
      <w:marBottom w:val="0"/>
      <w:divBdr>
        <w:top w:val="none" w:sz="0" w:space="0" w:color="auto"/>
        <w:left w:val="none" w:sz="0" w:space="0" w:color="auto"/>
        <w:bottom w:val="none" w:sz="0" w:space="0" w:color="auto"/>
        <w:right w:val="none" w:sz="0" w:space="0" w:color="auto"/>
      </w:divBdr>
    </w:div>
    <w:div w:id="958335927">
      <w:bodyDiv w:val="1"/>
      <w:marLeft w:val="0"/>
      <w:marRight w:val="0"/>
      <w:marTop w:val="0"/>
      <w:marBottom w:val="0"/>
      <w:divBdr>
        <w:top w:val="none" w:sz="0" w:space="0" w:color="auto"/>
        <w:left w:val="none" w:sz="0" w:space="0" w:color="auto"/>
        <w:bottom w:val="none" w:sz="0" w:space="0" w:color="auto"/>
        <w:right w:val="none" w:sz="0" w:space="0" w:color="auto"/>
      </w:divBdr>
    </w:div>
    <w:div w:id="958798517">
      <w:bodyDiv w:val="1"/>
      <w:marLeft w:val="0"/>
      <w:marRight w:val="0"/>
      <w:marTop w:val="0"/>
      <w:marBottom w:val="0"/>
      <w:divBdr>
        <w:top w:val="none" w:sz="0" w:space="0" w:color="auto"/>
        <w:left w:val="none" w:sz="0" w:space="0" w:color="auto"/>
        <w:bottom w:val="none" w:sz="0" w:space="0" w:color="auto"/>
        <w:right w:val="none" w:sz="0" w:space="0" w:color="auto"/>
      </w:divBdr>
    </w:div>
    <w:div w:id="974412518">
      <w:bodyDiv w:val="1"/>
      <w:marLeft w:val="0"/>
      <w:marRight w:val="0"/>
      <w:marTop w:val="0"/>
      <w:marBottom w:val="0"/>
      <w:divBdr>
        <w:top w:val="none" w:sz="0" w:space="0" w:color="auto"/>
        <w:left w:val="none" w:sz="0" w:space="0" w:color="auto"/>
        <w:bottom w:val="none" w:sz="0" w:space="0" w:color="auto"/>
        <w:right w:val="none" w:sz="0" w:space="0" w:color="auto"/>
      </w:divBdr>
    </w:div>
    <w:div w:id="981499774">
      <w:bodyDiv w:val="1"/>
      <w:marLeft w:val="0"/>
      <w:marRight w:val="0"/>
      <w:marTop w:val="0"/>
      <w:marBottom w:val="0"/>
      <w:divBdr>
        <w:top w:val="none" w:sz="0" w:space="0" w:color="auto"/>
        <w:left w:val="none" w:sz="0" w:space="0" w:color="auto"/>
        <w:bottom w:val="none" w:sz="0" w:space="0" w:color="auto"/>
        <w:right w:val="none" w:sz="0" w:space="0" w:color="auto"/>
      </w:divBdr>
    </w:div>
    <w:div w:id="990258662">
      <w:bodyDiv w:val="1"/>
      <w:marLeft w:val="0"/>
      <w:marRight w:val="0"/>
      <w:marTop w:val="0"/>
      <w:marBottom w:val="0"/>
      <w:divBdr>
        <w:top w:val="none" w:sz="0" w:space="0" w:color="auto"/>
        <w:left w:val="none" w:sz="0" w:space="0" w:color="auto"/>
        <w:bottom w:val="none" w:sz="0" w:space="0" w:color="auto"/>
        <w:right w:val="none" w:sz="0" w:space="0" w:color="auto"/>
      </w:divBdr>
    </w:div>
    <w:div w:id="1005789163">
      <w:bodyDiv w:val="1"/>
      <w:marLeft w:val="0"/>
      <w:marRight w:val="0"/>
      <w:marTop w:val="0"/>
      <w:marBottom w:val="0"/>
      <w:divBdr>
        <w:top w:val="none" w:sz="0" w:space="0" w:color="auto"/>
        <w:left w:val="none" w:sz="0" w:space="0" w:color="auto"/>
        <w:bottom w:val="none" w:sz="0" w:space="0" w:color="auto"/>
        <w:right w:val="none" w:sz="0" w:space="0" w:color="auto"/>
      </w:divBdr>
    </w:div>
    <w:div w:id="1006595251">
      <w:bodyDiv w:val="1"/>
      <w:marLeft w:val="0"/>
      <w:marRight w:val="0"/>
      <w:marTop w:val="0"/>
      <w:marBottom w:val="0"/>
      <w:divBdr>
        <w:top w:val="none" w:sz="0" w:space="0" w:color="auto"/>
        <w:left w:val="none" w:sz="0" w:space="0" w:color="auto"/>
        <w:bottom w:val="none" w:sz="0" w:space="0" w:color="auto"/>
        <w:right w:val="none" w:sz="0" w:space="0" w:color="auto"/>
      </w:divBdr>
    </w:div>
    <w:div w:id="1044909695">
      <w:bodyDiv w:val="1"/>
      <w:marLeft w:val="0"/>
      <w:marRight w:val="0"/>
      <w:marTop w:val="0"/>
      <w:marBottom w:val="0"/>
      <w:divBdr>
        <w:top w:val="none" w:sz="0" w:space="0" w:color="auto"/>
        <w:left w:val="none" w:sz="0" w:space="0" w:color="auto"/>
        <w:bottom w:val="none" w:sz="0" w:space="0" w:color="auto"/>
        <w:right w:val="none" w:sz="0" w:space="0" w:color="auto"/>
      </w:divBdr>
    </w:div>
    <w:div w:id="1070271640">
      <w:bodyDiv w:val="1"/>
      <w:marLeft w:val="0"/>
      <w:marRight w:val="0"/>
      <w:marTop w:val="0"/>
      <w:marBottom w:val="0"/>
      <w:divBdr>
        <w:top w:val="none" w:sz="0" w:space="0" w:color="auto"/>
        <w:left w:val="none" w:sz="0" w:space="0" w:color="auto"/>
        <w:bottom w:val="none" w:sz="0" w:space="0" w:color="auto"/>
        <w:right w:val="none" w:sz="0" w:space="0" w:color="auto"/>
      </w:divBdr>
    </w:div>
    <w:div w:id="1087653521">
      <w:bodyDiv w:val="1"/>
      <w:marLeft w:val="0"/>
      <w:marRight w:val="0"/>
      <w:marTop w:val="0"/>
      <w:marBottom w:val="0"/>
      <w:divBdr>
        <w:top w:val="none" w:sz="0" w:space="0" w:color="auto"/>
        <w:left w:val="none" w:sz="0" w:space="0" w:color="auto"/>
        <w:bottom w:val="none" w:sz="0" w:space="0" w:color="auto"/>
        <w:right w:val="none" w:sz="0" w:space="0" w:color="auto"/>
      </w:divBdr>
    </w:div>
    <w:div w:id="1096632670">
      <w:bodyDiv w:val="1"/>
      <w:marLeft w:val="0"/>
      <w:marRight w:val="0"/>
      <w:marTop w:val="0"/>
      <w:marBottom w:val="0"/>
      <w:divBdr>
        <w:top w:val="none" w:sz="0" w:space="0" w:color="auto"/>
        <w:left w:val="none" w:sz="0" w:space="0" w:color="auto"/>
        <w:bottom w:val="none" w:sz="0" w:space="0" w:color="auto"/>
        <w:right w:val="none" w:sz="0" w:space="0" w:color="auto"/>
      </w:divBdr>
    </w:div>
    <w:div w:id="1156261037">
      <w:bodyDiv w:val="1"/>
      <w:marLeft w:val="0"/>
      <w:marRight w:val="0"/>
      <w:marTop w:val="0"/>
      <w:marBottom w:val="0"/>
      <w:divBdr>
        <w:top w:val="none" w:sz="0" w:space="0" w:color="auto"/>
        <w:left w:val="none" w:sz="0" w:space="0" w:color="auto"/>
        <w:bottom w:val="none" w:sz="0" w:space="0" w:color="auto"/>
        <w:right w:val="none" w:sz="0" w:space="0" w:color="auto"/>
      </w:divBdr>
    </w:div>
    <w:div w:id="1168442220">
      <w:bodyDiv w:val="1"/>
      <w:marLeft w:val="0"/>
      <w:marRight w:val="0"/>
      <w:marTop w:val="0"/>
      <w:marBottom w:val="0"/>
      <w:divBdr>
        <w:top w:val="none" w:sz="0" w:space="0" w:color="auto"/>
        <w:left w:val="none" w:sz="0" w:space="0" w:color="auto"/>
        <w:bottom w:val="none" w:sz="0" w:space="0" w:color="auto"/>
        <w:right w:val="none" w:sz="0" w:space="0" w:color="auto"/>
      </w:divBdr>
    </w:div>
    <w:div w:id="1190989901">
      <w:bodyDiv w:val="1"/>
      <w:marLeft w:val="0"/>
      <w:marRight w:val="0"/>
      <w:marTop w:val="0"/>
      <w:marBottom w:val="0"/>
      <w:divBdr>
        <w:top w:val="none" w:sz="0" w:space="0" w:color="auto"/>
        <w:left w:val="none" w:sz="0" w:space="0" w:color="auto"/>
        <w:bottom w:val="none" w:sz="0" w:space="0" w:color="auto"/>
        <w:right w:val="none" w:sz="0" w:space="0" w:color="auto"/>
      </w:divBdr>
    </w:div>
    <w:div w:id="1202784058">
      <w:bodyDiv w:val="1"/>
      <w:marLeft w:val="0"/>
      <w:marRight w:val="0"/>
      <w:marTop w:val="0"/>
      <w:marBottom w:val="0"/>
      <w:divBdr>
        <w:top w:val="none" w:sz="0" w:space="0" w:color="auto"/>
        <w:left w:val="none" w:sz="0" w:space="0" w:color="auto"/>
        <w:bottom w:val="none" w:sz="0" w:space="0" w:color="auto"/>
        <w:right w:val="none" w:sz="0" w:space="0" w:color="auto"/>
      </w:divBdr>
    </w:div>
    <w:div w:id="1206986756">
      <w:bodyDiv w:val="1"/>
      <w:marLeft w:val="0"/>
      <w:marRight w:val="0"/>
      <w:marTop w:val="0"/>
      <w:marBottom w:val="0"/>
      <w:divBdr>
        <w:top w:val="none" w:sz="0" w:space="0" w:color="auto"/>
        <w:left w:val="none" w:sz="0" w:space="0" w:color="auto"/>
        <w:bottom w:val="none" w:sz="0" w:space="0" w:color="auto"/>
        <w:right w:val="none" w:sz="0" w:space="0" w:color="auto"/>
      </w:divBdr>
    </w:div>
    <w:div w:id="1207059228">
      <w:bodyDiv w:val="1"/>
      <w:marLeft w:val="0"/>
      <w:marRight w:val="0"/>
      <w:marTop w:val="0"/>
      <w:marBottom w:val="0"/>
      <w:divBdr>
        <w:top w:val="none" w:sz="0" w:space="0" w:color="auto"/>
        <w:left w:val="none" w:sz="0" w:space="0" w:color="auto"/>
        <w:bottom w:val="none" w:sz="0" w:space="0" w:color="auto"/>
        <w:right w:val="none" w:sz="0" w:space="0" w:color="auto"/>
      </w:divBdr>
    </w:div>
    <w:div w:id="1217816471">
      <w:bodyDiv w:val="1"/>
      <w:marLeft w:val="0"/>
      <w:marRight w:val="0"/>
      <w:marTop w:val="0"/>
      <w:marBottom w:val="0"/>
      <w:divBdr>
        <w:top w:val="none" w:sz="0" w:space="0" w:color="auto"/>
        <w:left w:val="none" w:sz="0" w:space="0" w:color="auto"/>
        <w:bottom w:val="none" w:sz="0" w:space="0" w:color="auto"/>
        <w:right w:val="none" w:sz="0" w:space="0" w:color="auto"/>
      </w:divBdr>
    </w:div>
    <w:div w:id="1227641539">
      <w:bodyDiv w:val="1"/>
      <w:marLeft w:val="0"/>
      <w:marRight w:val="0"/>
      <w:marTop w:val="0"/>
      <w:marBottom w:val="0"/>
      <w:divBdr>
        <w:top w:val="none" w:sz="0" w:space="0" w:color="auto"/>
        <w:left w:val="none" w:sz="0" w:space="0" w:color="auto"/>
        <w:bottom w:val="none" w:sz="0" w:space="0" w:color="auto"/>
        <w:right w:val="none" w:sz="0" w:space="0" w:color="auto"/>
      </w:divBdr>
    </w:div>
    <w:div w:id="1244995693">
      <w:bodyDiv w:val="1"/>
      <w:marLeft w:val="0"/>
      <w:marRight w:val="0"/>
      <w:marTop w:val="0"/>
      <w:marBottom w:val="0"/>
      <w:divBdr>
        <w:top w:val="none" w:sz="0" w:space="0" w:color="auto"/>
        <w:left w:val="none" w:sz="0" w:space="0" w:color="auto"/>
        <w:bottom w:val="none" w:sz="0" w:space="0" w:color="auto"/>
        <w:right w:val="none" w:sz="0" w:space="0" w:color="auto"/>
      </w:divBdr>
    </w:div>
    <w:div w:id="1257400858">
      <w:bodyDiv w:val="1"/>
      <w:marLeft w:val="0"/>
      <w:marRight w:val="0"/>
      <w:marTop w:val="0"/>
      <w:marBottom w:val="0"/>
      <w:divBdr>
        <w:top w:val="none" w:sz="0" w:space="0" w:color="auto"/>
        <w:left w:val="none" w:sz="0" w:space="0" w:color="auto"/>
        <w:bottom w:val="none" w:sz="0" w:space="0" w:color="auto"/>
        <w:right w:val="none" w:sz="0" w:space="0" w:color="auto"/>
      </w:divBdr>
    </w:div>
    <w:div w:id="1263301125">
      <w:bodyDiv w:val="1"/>
      <w:marLeft w:val="0"/>
      <w:marRight w:val="0"/>
      <w:marTop w:val="0"/>
      <w:marBottom w:val="0"/>
      <w:divBdr>
        <w:top w:val="none" w:sz="0" w:space="0" w:color="auto"/>
        <w:left w:val="none" w:sz="0" w:space="0" w:color="auto"/>
        <w:bottom w:val="none" w:sz="0" w:space="0" w:color="auto"/>
        <w:right w:val="none" w:sz="0" w:space="0" w:color="auto"/>
      </w:divBdr>
    </w:div>
    <w:div w:id="1267155029">
      <w:bodyDiv w:val="1"/>
      <w:marLeft w:val="0"/>
      <w:marRight w:val="0"/>
      <w:marTop w:val="0"/>
      <w:marBottom w:val="0"/>
      <w:divBdr>
        <w:top w:val="none" w:sz="0" w:space="0" w:color="auto"/>
        <w:left w:val="none" w:sz="0" w:space="0" w:color="auto"/>
        <w:bottom w:val="none" w:sz="0" w:space="0" w:color="auto"/>
        <w:right w:val="none" w:sz="0" w:space="0" w:color="auto"/>
      </w:divBdr>
    </w:div>
    <w:div w:id="1272398776">
      <w:bodyDiv w:val="1"/>
      <w:marLeft w:val="0"/>
      <w:marRight w:val="0"/>
      <w:marTop w:val="0"/>
      <w:marBottom w:val="0"/>
      <w:divBdr>
        <w:top w:val="none" w:sz="0" w:space="0" w:color="auto"/>
        <w:left w:val="none" w:sz="0" w:space="0" w:color="auto"/>
        <w:bottom w:val="none" w:sz="0" w:space="0" w:color="auto"/>
        <w:right w:val="none" w:sz="0" w:space="0" w:color="auto"/>
      </w:divBdr>
    </w:div>
    <w:div w:id="1288200124">
      <w:bodyDiv w:val="1"/>
      <w:marLeft w:val="0"/>
      <w:marRight w:val="0"/>
      <w:marTop w:val="0"/>
      <w:marBottom w:val="0"/>
      <w:divBdr>
        <w:top w:val="none" w:sz="0" w:space="0" w:color="auto"/>
        <w:left w:val="none" w:sz="0" w:space="0" w:color="auto"/>
        <w:bottom w:val="none" w:sz="0" w:space="0" w:color="auto"/>
        <w:right w:val="none" w:sz="0" w:space="0" w:color="auto"/>
      </w:divBdr>
    </w:div>
    <w:div w:id="1305966004">
      <w:bodyDiv w:val="1"/>
      <w:marLeft w:val="0"/>
      <w:marRight w:val="0"/>
      <w:marTop w:val="0"/>
      <w:marBottom w:val="0"/>
      <w:divBdr>
        <w:top w:val="none" w:sz="0" w:space="0" w:color="auto"/>
        <w:left w:val="none" w:sz="0" w:space="0" w:color="auto"/>
        <w:bottom w:val="none" w:sz="0" w:space="0" w:color="auto"/>
        <w:right w:val="none" w:sz="0" w:space="0" w:color="auto"/>
      </w:divBdr>
    </w:div>
    <w:div w:id="1313292202">
      <w:bodyDiv w:val="1"/>
      <w:marLeft w:val="0"/>
      <w:marRight w:val="0"/>
      <w:marTop w:val="0"/>
      <w:marBottom w:val="0"/>
      <w:divBdr>
        <w:top w:val="none" w:sz="0" w:space="0" w:color="auto"/>
        <w:left w:val="none" w:sz="0" w:space="0" w:color="auto"/>
        <w:bottom w:val="none" w:sz="0" w:space="0" w:color="auto"/>
        <w:right w:val="none" w:sz="0" w:space="0" w:color="auto"/>
      </w:divBdr>
    </w:div>
    <w:div w:id="1315798750">
      <w:bodyDiv w:val="1"/>
      <w:marLeft w:val="0"/>
      <w:marRight w:val="0"/>
      <w:marTop w:val="0"/>
      <w:marBottom w:val="0"/>
      <w:divBdr>
        <w:top w:val="none" w:sz="0" w:space="0" w:color="auto"/>
        <w:left w:val="none" w:sz="0" w:space="0" w:color="auto"/>
        <w:bottom w:val="none" w:sz="0" w:space="0" w:color="auto"/>
        <w:right w:val="none" w:sz="0" w:space="0" w:color="auto"/>
      </w:divBdr>
    </w:div>
    <w:div w:id="1316447955">
      <w:bodyDiv w:val="1"/>
      <w:marLeft w:val="0"/>
      <w:marRight w:val="0"/>
      <w:marTop w:val="0"/>
      <w:marBottom w:val="0"/>
      <w:divBdr>
        <w:top w:val="none" w:sz="0" w:space="0" w:color="auto"/>
        <w:left w:val="none" w:sz="0" w:space="0" w:color="auto"/>
        <w:bottom w:val="none" w:sz="0" w:space="0" w:color="auto"/>
        <w:right w:val="none" w:sz="0" w:space="0" w:color="auto"/>
      </w:divBdr>
    </w:div>
    <w:div w:id="1318387733">
      <w:bodyDiv w:val="1"/>
      <w:marLeft w:val="0"/>
      <w:marRight w:val="0"/>
      <w:marTop w:val="0"/>
      <w:marBottom w:val="0"/>
      <w:divBdr>
        <w:top w:val="none" w:sz="0" w:space="0" w:color="auto"/>
        <w:left w:val="none" w:sz="0" w:space="0" w:color="auto"/>
        <w:bottom w:val="none" w:sz="0" w:space="0" w:color="auto"/>
        <w:right w:val="none" w:sz="0" w:space="0" w:color="auto"/>
      </w:divBdr>
    </w:div>
    <w:div w:id="1374116196">
      <w:bodyDiv w:val="1"/>
      <w:marLeft w:val="0"/>
      <w:marRight w:val="0"/>
      <w:marTop w:val="0"/>
      <w:marBottom w:val="0"/>
      <w:divBdr>
        <w:top w:val="none" w:sz="0" w:space="0" w:color="auto"/>
        <w:left w:val="none" w:sz="0" w:space="0" w:color="auto"/>
        <w:bottom w:val="none" w:sz="0" w:space="0" w:color="auto"/>
        <w:right w:val="none" w:sz="0" w:space="0" w:color="auto"/>
      </w:divBdr>
    </w:div>
    <w:div w:id="1388914754">
      <w:bodyDiv w:val="1"/>
      <w:marLeft w:val="0"/>
      <w:marRight w:val="0"/>
      <w:marTop w:val="0"/>
      <w:marBottom w:val="0"/>
      <w:divBdr>
        <w:top w:val="none" w:sz="0" w:space="0" w:color="auto"/>
        <w:left w:val="none" w:sz="0" w:space="0" w:color="auto"/>
        <w:bottom w:val="none" w:sz="0" w:space="0" w:color="auto"/>
        <w:right w:val="none" w:sz="0" w:space="0" w:color="auto"/>
      </w:divBdr>
    </w:div>
    <w:div w:id="1428308466">
      <w:bodyDiv w:val="1"/>
      <w:marLeft w:val="0"/>
      <w:marRight w:val="0"/>
      <w:marTop w:val="0"/>
      <w:marBottom w:val="0"/>
      <w:divBdr>
        <w:top w:val="none" w:sz="0" w:space="0" w:color="auto"/>
        <w:left w:val="none" w:sz="0" w:space="0" w:color="auto"/>
        <w:bottom w:val="none" w:sz="0" w:space="0" w:color="auto"/>
        <w:right w:val="none" w:sz="0" w:space="0" w:color="auto"/>
      </w:divBdr>
    </w:div>
    <w:div w:id="1440106491">
      <w:bodyDiv w:val="1"/>
      <w:marLeft w:val="0"/>
      <w:marRight w:val="0"/>
      <w:marTop w:val="0"/>
      <w:marBottom w:val="0"/>
      <w:divBdr>
        <w:top w:val="none" w:sz="0" w:space="0" w:color="auto"/>
        <w:left w:val="none" w:sz="0" w:space="0" w:color="auto"/>
        <w:bottom w:val="none" w:sz="0" w:space="0" w:color="auto"/>
        <w:right w:val="none" w:sz="0" w:space="0" w:color="auto"/>
      </w:divBdr>
    </w:div>
    <w:div w:id="1441948535">
      <w:bodyDiv w:val="1"/>
      <w:marLeft w:val="0"/>
      <w:marRight w:val="0"/>
      <w:marTop w:val="0"/>
      <w:marBottom w:val="0"/>
      <w:divBdr>
        <w:top w:val="none" w:sz="0" w:space="0" w:color="auto"/>
        <w:left w:val="none" w:sz="0" w:space="0" w:color="auto"/>
        <w:bottom w:val="none" w:sz="0" w:space="0" w:color="auto"/>
        <w:right w:val="none" w:sz="0" w:space="0" w:color="auto"/>
      </w:divBdr>
    </w:div>
    <w:div w:id="1444113879">
      <w:bodyDiv w:val="1"/>
      <w:marLeft w:val="0"/>
      <w:marRight w:val="0"/>
      <w:marTop w:val="0"/>
      <w:marBottom w:val="0"/>
      <w:divBdr>
        <w:top w:val="none" w:sz="0" w:space="0" w:color="auto"/>
        <w:left w:val="none" w:sz="0" w:space="0" w:color="auto"/>
        <w:bottom w:val="none" w:sz="0" w:space="0" w:color="auto"/>
        <w:right w:val="none" w:sz="0" w:space="0" w:color="auto"/>
      </w:divBdr>
    </w:div>
    <w:div w:id="1477601322">
      <w:bodyDiv w:val="1"/>
      <w:marLeft w:val="0"/>
      <w:marRight w:val="0"/>
      <w:marTop w:val="0"/>
      <w:marBottom w:val="0"/>
      <w:divBdr>
        <w:top w:val="none" w:sz="0" w:space="0" w:color="auto"/>
        <w:left w:val="none" w:sz="0" w:space="0" w:color="auto"/>
        <w:bottom w:val="none" w:sz="0" w:space="0" w:color="auto"/>
        <w:right w:val="none" w:sz="0" w:space="0" w:color="auto"/>
      </w:divBdr>
    </w:div>
    <w:div w:id="1497262142">
      <w:bodyDiv w:val="1"/>
      <w:marLeft w:val="0"/>
      <w:marRight w:val="0"/>
      <w:marTop w:val="0"/>
      <w:marBottom w:val="0"/>
      <w:divBdr>
        <w:top w:val="none" w:sz="0" w:space="0" w:color="auto"/>
        <w:left w:val="none" w:sz="0" w:space="0" w:color="auto"/>
        <w:bottom w:val="none" w:sz="0" w:space="0" w:color="auto"/>
        <w:right w:val="none" w:sz="0" w:space="0" w:color="auto"/>
      </w:divBdr>
    </w:div>
    <w:div w:id="1517960538">
      <w:bodyDiv w:val="1"/>
      <w:marLeft w:val="0"/>
      <w:marRight w:val="0"/>
      <w:marTop w:val="0"/>
      <w:marBottom w:val="0"/>
      <w:divBdr>
        <w:top w:val="none" w:sz="0" w:space="0" w:color="auto"/>
        <w:left w:val="none" w:sz="0" w:space="0" w:color="auto"/>
        <w:bottom w:val="none" w:sz="0" w:space="0" w:color="auto"/>
        <w:right w:val="none" w:sz="0" w:space="0" w:color="auto"/>
      </w:divBdr>
    </w:div>
    <w:div w:id="1534725750">
      <w:bodyDiv w:val="1"/>
      <w:marLeft w:val="0"/>
      <w:marRight w:val="0"/>
      <w:marTop w:val="0"/>
      <w:marBottom w:val="0"/>
      <w:divBdr>
        <w:top w:val="none" w:sz="0" w:space="0" w:color="auto"/>
        <w:left w:val="none" w:sz="0" w:space="0" w:color="auto"/>
        <w:bottom w:val="none" w:sz="0" w:space="0" w:color="auto"/>
        <w:right w:val="none" w:sz="0" w:space="0" w:color="auto"/>
      </w:divBdr>
    </w:div>
    <w:div w:id="1544560955">
      <w:bodyDiv w:val="1"/>
      <w:marLeft w:val="0"/>
      <w:marRight w:val="0"/>
      <w:marTop w:val="0"/>
      <w:marBottom w:val="0"/>
      <w:divBdr>
        <w:top w:val="none" w:sz="0" w:space="0" w:color="auto"/>
        <w:left w:val="none" w:sz="0" w:space="0" w:color="auto"/>
        <w:bottom w:val="none" w:sz="0" w:space="0" w:color="auto"/>
        <w:right w:val="none" w:sz="0" w:space="0" w:color="auto"/>
      </w:divBdr>
    </w:div>
    <w:div w:id="1579703937">
      <w:bodyDiv w:val="1"/>
      <w:marLeft w:val="0"/>
      <w:marRight w:val="0"/>
      <w:marTop w:val="0"/>
      <w:marBottom w:val="0"/>
      <w:divBdr>
        <w:top w:val="none" w:sz="0" w:space="0" w:color="auto"/>
        <w:left w:val="none" w:sz="0" w:space="0" w:color="auto"/>
        <w:bottom w:val="none" w:sz="0" w:space="0" w:color="auto"/>
        <w:right w:val="none" w:sz="0" w:space="0" w:color="auto"/>
      </w:divBdr>
    </w:div>
    <w:div w:id="1594977359">
      <w:bodyDiv w:val="1"/>
      <w:marLeft w:val="0"/>
      <w:marRight w:val="0"/>
      <w:marTop w:val="0"/>
      <w:marBottom w:val="0"/>
      <w:divBdr>
        <w:top w:val="none" w:sz="0" w:space="0" w:color="auto"/>
        <w:left w:val="none" w:sz="0" w:space="0" w:color="auto"/>
        <w:bottom w:val="none" w:sz="0" w:space="0" w:color="auto"/>
        <w:right w:val="none" w:sz="0" w:space="0" w:color="auto"/>
      </w:divBdr>
    </w:div>
    <w:div w:id="1613127710">
      <w:bodyDiv w:val="1"/>
      <w:marLeft w:val="0"/>
      <w:marRight w:val="0"/>
      <w:marTop w:val="0"/>
      <w:marBottom w:val="0"/>
      <w:divBdr>
        <w:top w:val="none" w:sz="0" w:space="0" w:color="auto"/>
        <w:left w:val="none" w:sz="0" w:space="0" w:color="auto"/>
        <w:bottom w:val="none" w:sz="0" w:space="0" w:color="auto"/>
        <w:right w:val="none" w:sz="0" w:space="0" w:color="auto"/>
      </w:divBdr>
    </w:div>
    <w:div w:id="1644003137">
      <w:bodyDiv w:val="1"/>
      <w:marLeft w:val="0"/>
      <w:marRight w:val="0"/>
      <w:marTop w:val="0"/>
      <w:marBottom w:val="0"/>
      <w:divBdr>
        <w:top w:val="none" w:sz="0" w:space="0" w:color="auto"/>
        <w:left w:val="none" w:sz="0" w:space="0" w:color="auto"/>
        <w:bottom w:val="none" w:sz="0" w:space="0" w:color="auto"/>
        <w:right w:val="none" w:sz="0" w:space="0" w:color="auto"/>
      </w:divBdr>
    </w:div>
    <w:div w:id="1647586079">
      <w:bodyDiv w:val="1"/>
      <w:marLeft w:val="0"/>
      <w:marRight w:val="0"/>
      <w:marTop w:val="0"/>
      <w:marBottom w:val="0"/>
      <w:divBdr>
        <w:top w:val="none" w:sz="0" w:space="0" w:color="auto"/>
        <w:left w:val="none" w:sz="0" w:space="0" w:color="auto"/>
        <w:bottom w:val="none" w:sz="0" w:space="0" w:color="auto"/>
        <w:right w:val="none" w:sz="0" w:space="0" w:color="auto"/>
      </w:divBdr>
    </w:div>
    <w:div w:id="1655259819">
      <w:bodyDiv w:val="1"/>
      <w:marLeft w:val="0"/>
      <w:marRight w:val="0"/>
      <w:marTop w:val="0"/>
      <w:marBottom w:val="0"/>
      <w:divBdr>
        <w:top w:val="none" w:sz="0" w:space="0" w:color="auto"/>
        <w:left w:val="none" w:sz="0" w:space="0" w:color="auto"/>
        <w:bottom w:val="none" w:sz="0" w:space="0" w:color="auto"/>
        <w:right w:val="none" w:sz="0" w:space="0" w:color="auto"/>
      </w:divBdr>
    </w:div>
    <w:div w:id="1659992238">
      <w:bodyDiv w:val="1"/>
      <w:marLeft w:val="0"/>
      <w:marRight w:val="0"/>
      <w:marTop w:val="0"/>
      <w:marBottom w:val="0"/>
      <w:divBdr>
        <w:top w:val="none" w:sz="0" w:space="0" w:color="auto"/>
        <w:left w:val="none" w:sz="0" w:space="0" w:color="auto"/>
        <w:bottom w:val="none" w:sz="0" w:space="0" w:color="auto"/>
        <w:right w:val="none" w:sz="0" w:space="0" w:color="auto"/>
      </w:divBdr>
    </w:div>
    <w:div w:id="1671249619">
      <w:bodyDiv w:val="1"/>
      <w:marLeft w:val="0"/>
      <w:marRight w:val="0"/>
      <w:marTop w:val="0"/>
      <w:marBottom w:val="0"/>
      <w:divBdr>
        <w:top w:val="none" w:sz="0" w:space="0" w:color="auto"/>
        <w:left w:val="none" w:sz="0" w:space="0" w:color="auto"/>
        <w:bottom w:val="none" w:sz="0" w:space="0" w:color="auto"/>
        <w:right w:val="none" w:sz="0" w:space="0" w:color="auto"/>
      </w:divBdr>
    </w:div>
    <w:div w:id="1700352239">
      <w:bodyDiv w:val="1"/>
      <w:marLeft w:val="0"/>
      <w:marRight w:val="0"/>
      <w:marTop w:val="0"/>
      <w:marBottom w:val="0"/>
      <w:divBdr>
        <w:top w:val="none" w:sz="0" w:space="0" w:color="auto"/>
        <w:left w:val="none" w:sz="0" w:space="0" w:color="auto"/>
        <w:bottom w:val="none" w:sz="0" w:space="0" w:color="auto"/>
        <w:right w:val="none" w:sz="0" w:space="0" w:color="auto"/>
      </w:divBdr>
    </w:div>
    <w:div w:id="1702896482">
      <w:bodyDiv w:val="1"/>
      <w:marLeft w:val="0"/>
      <w:marRight w:val="0"/>
      <w:marTop w:val="0"/>
      <w:marBottom w:val="0"/>
      <w:divBdr>
        <w:top w:val="none" w:sz="0" w:space="0" w:color="auto"/>
        <w:left w:val="none" w:sz="0" w:space="0" w:color="auto"/>
        <w:bottom w:val="none" w:sz="0" w:space="0" w:color="auto"/>
        <w:right w:val="none" w:sz="0" w:space="0" w:color="auto"/>
      </w:divBdr>
    </w:div>
    <w:div w:id="1704089957">
      <w:bodyDiv w:val="1"/>
      <w:marLeft w:val="0"/>
      <w:marRight w:val="0"/>
      <w:marTop w:val="0"/>
      <w:marBottom w:val="0"/>
      <w:divBdr>
        <w:top w:val="none" w:sz="0" w:space="0" w:color="auto"/>
        <w:left w:val="none" w:sz="0" w:space="0" w:color="auto"/>
        <w:bottom w:val="none" w:sz="0" w:space="0" w:color="auto"/>
        <w:right w:val="none" w:sz="0" w:space="0" w:color="auto"/>
      </w:divBdr>
    </w:div>
    <w:div w:id="1755081787">
      <w:bodyDiv w:val="1"/>
      <w:marLeft w:val="0"/>
      <w:marRight w:val="0"/>
      <w:marTop w:val="0"/>
      <w:marBottom w:val="0"/>
      <w:divBdr>
        <w:top w:val="none" w:sz="0" w:space="0" w:color="auto"/>
        <w:left w:val="none" w:sz="0" w:space="0" w:color="auto"/>
        <w:bottom w:val="none" w:sz="0" w:space="0" w:color="auto"/>
        <w:right w:val="none" w:sz="0" w:space="0" w:color="auto"/>
      </w:divBdr>
    </w:div>
    <w:div w:id="1794862422">
      <w:bodyDiv w:val="1"/>
      <w:marLeft w:val="0"/>
      <w:marRight w:val="0"/>
      <w:marTop w:val="0"/>
      <w:marBottom w:val="0"/>
      <w:divBdr>
        <w:top w:val="none" w:sz="0" w:space="0" w:color="auto"/>
        <w:left w:val="none" w:sz="0" w:space="0" w:color="auto"/>
        <w:bottom w:val="none" w:sz="0" w:space="0" w:color="auto"/>
        <w:right w:val="none" w:sz="0" w:space="0" w:color="auto"/>
      </w:divBdr>
    </w:div>
    <w:div w:id="1799059564">
      <w:bodyDiv w:val="1"/>
      <w:marLeft w:val="0"/>
      <w:marRight w:val="0"/>
      <w:marTop w:val="0"/>
      <w:marBottom w:val="0"/>
      <w:divBdr>
        <w:top w:val="none" w:sz="0" w:space="0" w:color="auto"/>
        <w:left w:val="none" w:sz="0" w:space="0" w:color="auto"/>
        <w:bottom w:val="none" w:sz="0" w:space="0" w:color="auto"/>
        <w:right w:val="none" w:sz="0" w:space="0" w:color="auto"/>
      </w:divBdr>
    </w:div>
    <w:div w:id="1816069590">
      <w:bodyDiv w:val="1"/>
      <w:marLeft w:val="0"/>
      <w:marRight w:val="0"/>
      <w:marTop w:val="0"/>
      <w:marBottom w:val="0"/>
      <w:divBdr>
        <w:top w:val="none" w:sz="0" w:space="0" w:color="auto"/>
        <w:left w:val="none" w:sz="0" w:space="0" w:color="auto"/>
        <w:bottom w:val="none" w:sz="0" w:space="0" w:color="auto"/>
        <w:right w:val="none" w:sz="0" w:space="0" w:color="auto"/>
      </w:divBdr>
    </w:div>
    <w:div w:id="1866747983">
      <w:bodyDiv w:val="1"/>
      <w:marLeft w:val="0"/>
      <w:marRight w:val="0"/>
      <w:marTop w:val="0"/>
      <w:marBottom w:val="0"/>
      <w:divBdr>
        <w:top w:val="none" w:sz="0" w:space="0" w:color="auto"/>
        <w:left w:val="none" w:sz="0" w:space="0" w:color="auto"/>
        <w:bottom w:val="none" w:sz="0" w:space="0" w:color="auto"/>
        <w:right w:val="none" w:sz="0" w:space="0" w:color="auto"/>
      </w:divBdr>
    </w:div>
    <w:div w:id="1870951987">
      <w:bodyDiv w:val="1"/>
      <w:marLeft w:val="0"/>
      <w:marRight w:val="0"/>
      <w:marTop w:val="0"/>
      <w:marBottom w:val="0"/>
      <w:divBdr>
        <w:top w:val="none" w:sz="0" w:space="0" w:color="auto"/>
        <w:left w:val="none" w:sz="0" w:space="0" w:color="auto"/>
        <w:bottom w:val="none" w:sz="0" w:space="0" w:color="auto"/>
        <w:right w:val="none" w:sz="0" w:space="0" w:color="auto"/>
      </w:divBdr>
    </w:div>
    <w:div w:id="1891263974">
      <w:bodyDiv w:val="1"/>
      <w:marLeft w:val="0"/>
      <w:marRight w:val="0"/>
      <w:marTop w:val="0"/>
      <w:marBottom w:val="0"/>
      <w:divBdr>
        <w:top w:val="none" w:sz="0" w:space="0" w:color="auto"/>
        <w:left w:val="none" w:sz="0" w:space="0" w:color="auto"/>
        <w:bottom w:val="none" w:sz="0" w:space="0" w:color="auto"/>
        <w:right w:val="none" w:sz="0" w:space="0" w:color="auto"/>
      </w:divBdr>
    </w:div>
    <w:div w:id="1892643827">
      <w:bodyDiv w:val="1"/>
      <w:marLeft w:val="0"/>
      <w:marRight w:val="0"/>
      <w:marTop w:val="0"/>
      <w:marBottom w:val="0"/>
      <w:divBdr>
        <w:top w:val="none" w:sz="0" w:space="0" w:color="auto"/>
        <w:left w:val="none" w:sz="0" w:space="0" w:color="auto"/>
        <w:bottom w:val="none" w:sz="0" w:space="0" w:color="auto"/>
        <w:right w:val="none" w:sz="0" w:space="0" w:color="auto"/>
      </w:divBdr>
    </w:div>
    <w:div w:id="1894152497">
      <w:bodyDiv w:val="1"/>
      <w:marLeft w:val="0"/>
      <w:marRight w:val="0"/>
      <w:marTop w:val="0"/>
      <w:marBottom w:val="0"/>
      <w:divBdr>
        <w:top w:val="none" w:sz="0" w:space="0" w:color="auto"/>
        <w:left w:val="none" w:sz="0" w:space="0" w:color="auto"/>
        <w:bottom w:val="none" w:sz="0" w:space="0" w:color="auto"/>
        <w:right w:val="none" w:sz="0" w:space="0" w:color="auto"/>
      </w:divBdr>
    </w:div>
    <w:div w:id="1905213183">
      <w:bodyDiv w:val="1"/>
      <w:marLeft w:val="0"/>
      <w:marRight w:val="0"/>
      <w:marTop w:val="0"/>
      <w:marBottom w:val="0"/>
      <w:divBdr>
        <w:top w:val="none" w:sz="0" w:space="0" w:color="auto"/>
        <w:left w:val="none" w:sz="0" w:space="0" w:color="auto"/>
        <w:bottom w:val="none" w:sz="0" w:space="0" w:color="auto"/>
        <w:right w:val="none" w:sz="0" w:space="0" w:color="auto"/>
      </w:divBdr>
    </w:div>
    <w:div w:id="1939411302">
      <w:bodyDiv w:val="1"/>
      <w:marLeft w:val="0"/>
      <w:marRight w:val="0"/>
      <w:marTop w:val="0"/>
      <w:marBottom w:val="0"/>
      <w:divBdr>
        <w:top w:val="none" w:sz="0" w:space="0" w:color="auto"/>
        <w:left w:val="none" w:sz="0" w:space="0" w:color="auto"/>
        <w:bottom w:val="none" w:sz="0" w:space="0" w:color="auto"/>
        <w:right w:val="none" w:sz="0" w:space="0" w:color="auto"/>
      </w:divBdr>
    </w:div>
    <w:div w:id="1986347669">
      <w:bodyDiv w:val="1"/>
      <w:marLeft w:val="0"/>
      <w:marRight w:val="0"/>
      <w:marTop w:val="0"/>
      <w:marBottom w:val="0"/>
      <w:divBdr>
        <w:top w:val="none" w:sz="0" w:space="0" w:color="auto"/>
        <w:left w:val="none" w:sz="0" w:space="0" w:color="auto"/>
        <w:bottom w:val="none" w:sz="0" w:space="0" w:color="auto"/>
        <w:right w:val="none" w:sz="0" w:space="0" w:color="auto"/>
      </w:divBdr>
    </w:div>
    <w:div w:id="1988394823">
      <w:bodyDiv w:val="1"/>
      <w:marLeft w:val="0"/>
      <w:marRight w:val="0"/>
      <w:marTop w:val="0"/>
      <w:marBottom w:val="0"/>
      <w:divBdr>
        <w:top w:val="none" w:sz="0" w:space="0" w:color="auto"/>
        <w:left w:val="none" w:sz="0" w:space="0" w:color="auto"/>
        <w:bottom w:val="none" w:sz="0" w:space="0" w:color="auto"/>
        <w:right w:val="none" w:sz="0" w:space="0" w:color="auto"/>
      </w:divBdr>
    </w:div>
    <w:div w:id="1989746543">
      <w:bodyDiv w:val="1"/>
      <w:marLeft w:val="0"/>
      <w:marRight w:val="0"/>
      <w:marTop w:val="0"/>
      <w:marBottom w:val="0"/>
      <w:divBdr>
        <w:top w:val="none" w:sz="0" w:space="0" w:color="auto"/>
        <w:left w:val="none" w:sz="0" w:space="0" w:color="auto"/>
        <w:bottom w:val="none" w:sz="0" w:space="0" w:color="auto"/>
        <w:right w:val="none" w:sz="0" w:space="0" w:color="auto"/>
      </w:divBdr>
    </w:div>
    <w:div w:id="1995638741">
      <w:bodyDiv w:val="1"/>
      <w:marLeft w:val="0"/>
      <w:marRight w:val="0"/>
      <w:marTop w:val="0"/>
      <w:marBottom w:val="0"/>
      <w:divBdr>
        <w:top w:val="none" w:sz="0" w:space="0" w:color="auto"/>
        <w:left w:val="none" w:sz="0" w:space="0" w:color="auto"/>
        <w:bottom w:val="none" w:sz="0" w:space="0" w:color="auto"/>
        <w:right w:val="none" w:sz="0" w:space="0" w:color="auto"/>
      </w:divBdr>
    </w:div>
    <w:div w:id="2008704703">
      <w:bodyDiv w:val="1"/>
      <w:marLeft w:val="0"/>
      <w:marRight w:val="0"/>
      <w:marTop w:val="0"/>
      <w:marBottom w:val="0"/>
      <w:divBdr>
        <w:top w:val="none" w:sz="0" w:space="0" w:color="auto"/>
        <w:left w:val="none" w:sz="0" w:space="0" w:color="auto"/>
        <w:bottom w:val="none" w:sz="0" w:space="0" w:color="auto"/>
        <w:right w:val="none" w:sz="0" w:space="0" w:color="auto"/>
      </w:divBdr>
    </w:div>
    <w:div w:id="2027051476">
      <w:bodyDiv w:val="1"/>
      <w:marLeft w:val="0"/>
      <w:marRight w:val="0"/>
      <w:marTop w:val="0"/>
      <w:marBottom w:val="0"/>
      <w:divBdr>
        <w:top w:val="none" w:sz="0" w:space="0" w:color="auto"/>
        <w:left w:val="none" w:sz="0" w:space="0" w:color="auto"/>
        <w:bottom w:val="none" w:sz="0" w:space="0" w:color="auto"/>
        <w:right w:val="none" w:sz="0" w:space="0" w:color="auto"/>
      </w:divBdr>
    </w:div>
    <w:div w:id="2061898608">
      <w:bodyDiv w:val="1"/>
      <w:marLeft w:val="0"/>
      <w:marRight w:val="0"/>
      <w:marTop w:val="0"/>
      <w:marBottom w:val="0"/>
      <w:divBdr>
        <w:top w:val="none" w:sz="0" w:space="0" w:color="auto"/>
        <w:left w:val="none" w:sz="0" w:space="0" w:color="auto"/>
        <w:bottom w:val="none" w:sz="0" w:space="0" w:color="auto"/>
        <w:right w:val="none" w:sz="0" w:space="0" w:color="auto"/>
      </w:divBdr>
    </w:div>
    <w:div w:id="2086952032">
      <w:bodyDiv w:val="1"/>
      <w:marLeft w:val="0"/>
      <w:marRight w:val="0"/>
      <w:marTop w:val="0"/>
      <w:marBottom w:val="0"/>
      <w:divBdr>
        <w:top w:val="none" w:sz="0" w:space="0" w:color="auto"/>
        <w:left w:val="none" w:sz="0" w:space="0" w:color="auto"/>
        <w:bottom w:val="none" w:sz="0" w:space="0" w:color="auto"/>
        <w:right w:val="none" w:sz="0" w:space="0" w:color="auto"/>
      </w:divBdr>
    </w:div>
    <w:div w:id="2115206133">
      <w:bodyDiv w:val="1"/>
      <w:marLeft w:val="0"/>
      <w:marRight w:val="0"/>
      <w:marTop w:val="0"/>
      <w:marBottom w:val="0"/>
      <w:divBdr>
        <w:top w:val="none" w:sz="0" w:space="0" w:color="auto"/>
        <w:left w:val="none" w:sz="0" w:space="0" w:color="auto"/>
        <w:bottom w:val="none" w:sz="0" w:space="0" w:color="auto"/>
        <w:right w:val="none" w:sz="0" w:space="0" w:color="auto"/>
      </w:divBdr>
    </w:div>
    <w:div w:id="21327008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856B4-E048-4EF9-9D9D-5E43FDE82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42</Pages>
  <Words>8757</Words>
  <Characters>49917</Characters>
  <Application>Microsoft Office Word</Application>
  <DocSecurity>0</DocSecurity>
  <Lines>415</Lines>
  <Paragraphs>117</Paragraphs>
  <ScaleCrop>false</ScaleCrop>
  <HeadingPairs>
    <vt:vector size="2" baseType="variant">
      <vt:variant>
        <vt:lpstr>Title</vt:lpstr>
      </vt:variant>
      <vt:variant>
        <vt:i4>1</vt:i4>
      </vt:variant>
    </vt:vector>
  </HeadingPairs>
  <TitlesOfParts>
    <vt:vector size="1" baseType="lpstr">
      <vt:lpstr>BSES Rajdhani Power Limited</vt:lpstr>
    </vt:vector>
  </TitlesOfParts>
  <Company/>
  <LinksUpToDate>false</LinksUpToDate>
  <CharactersWithSpaces>58557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BSES Rajdhani Power Limited</dc:title>
  <dc:subject/>
  <dc:creator>Prachi Jain</dc:creator>
  <cp:keywords/>
  <dc:description/>
  <cp:lastModifiedBy>Brajesh Kumar</cp:lastModifiedBy>
  <cp:revision>11</cp:revision>
  <cp:lastPrinted>2022-11-30T15:35:00Z</cp:lastPrinted>
  <dcterms:created xsi:type="dcterms:W3CDTF">2022-11-30T15:36:00Z</dcterms:created>
  <dcterms:modified xsi:type="dcterms:W3CDTF">2022-12-01T07:28:00Z</dcterms:modified>
</cp:coreProperties>
</file>